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48" w:rsidRPr="00FC6585" w:rsidRDefault="005D7D48" w:rsidP="005D7D48">
      <w:pPr>
        <w:jc w:val="center"/>
        <w:rPr>
          <w:b/>
          <w:sz w:val="44"/>
          <w:szCs w:val="28"/>
        </w:rPr>
      </w:pPr>
      <w:r w:rsidRPr="00FC6585">
        <w:rPr>
          <w:b/>
          <w:sz w:val="44"/>
          <w:szCs w:val="28"/>
        </w:rPr>
        <w:t>UNIVERZITA PALACKÉHO V OLOMOUCI</w:t>
      </w:r>
    </w:p>
    <w:p w:rsidR="005D7D48" w:rsidRDefault="005D7D48" w:rsidP="005D7D48">
      <w:pPr>
        <w:jc w:val="center"/>
        <w:rPr>
          <w:b/>
          <w:sz w:val="44"/>
          <w:szCs w:val="28"/>
        </w:rPr>
      </w:pPr>
      <w:r w:rsidRPr="00FC6585">
        <w:rPr>
          <w:b/>
          <w:sz w:val="44"/>
          <w:szCs w:val="28"/>
        </w:rPr>
        <w:t>PŘÍRODOVĚDECKÁ FAKULTA</w:t>
      </w:r>
    </w:p>
    <w:p w:rsidR="005D7D48" w:rsidRPr="003D3F52" w:rsidRDefault="005D7D48" w:rsidP="005D7D48">
      <w:pPr>
        <w:jc w:val="center"/>
        <w:rPr>
          <w:b/>
          <w:sz w:val="36"/>
          <w:szCs w:val="36"/>
        </w:rPr>
      </w:pPr>
    </w:p>
    <w:p w:rsidR="005D7D48" w:rsidRDefault="005D7D48" w:rsidP="005D7D48">
      <w:pPr>
        <w:jc w:val="center"/>
        <w:rPr>
          <w:b/>
          <w:sz w:val="44"/>
          <w:szCs w:val="28"/>
        </w:rPr>
      </w:pPr>
      <w:r>
        <w:rPr>
          <w:b/>
          <w:noProof/>
          <w:sz w:val="44"/>
          <w:szCs w:val="28"/>
          <w:lang w:eastAsia="cs-CZ"/>
        </w:rPr>
        <w:drawing>
          <wp:inline distT="0" distB="0" distL="0" distR="0" wp14:anchorId="7D83EC95" wp14:editId="49181CEB">
            <wp:extent cx="1571625" cy="15716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znackaPrF_plna_rg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D48" w:rsidRPr="003D3F52" w:rsidRDefault="005D7D48" w:rsidP="005D7D48">
      <w:pPr>
        <w:jc w:val="center"/>
        <w:rPr>
          <w:b/>
          <w:sz w:val="36"/>
          <w:szCs w:val="36"/>
        </w:rPr>
      </w:pPr>
    </w:p>
    <w:p w:rsidR="005D7D48" w:rsidRPr="00FC6585" w:rsidRDefault="005D7D48" w:rsidP="005D7D48">
      <w:pPr>
        <w:jc w:val="center"/>
        <w:rPr>
          <w:b/>
          <w:sz w:val="48"/>
          <w:szCs w:val="28"/>
        </w:rPr>
      </w:pPr>
      <w:r w:rsidRPr="00FC6585">
        <w:rPr>
          <w:b/>
          <w:sz w:val="96"/>
          <w:szCs w:val="28"/>
        </w:rPr>
        <w:t>KNIHOVNA</w:t>
      </w:r>
    </w:p>
    <w:p w:rsidR="005D7D48" w:rsidRDefault="005D7D48" w:rsidP="005D7D48">
      <w:pPr>
        <w:jc w:val="center"/>
        <w:rPr>
          <w:b/>
          <w:sz w:val="28"/>
          <w:szCs w:val="28"/>
        </w:rPr>
      </w:pPr>
    </w:p>
    <w:p w:rsidR="005D7D48" w:rsidRDefault="005D7D48" w:rsidP="005D7D48">
      <w:pPr>
        <w:jc w:val="center"/>
      </w:pPr>
      <w:r>
        <w:rPr>
          <w:noProof/>
          <w:lang w:eastAsia="cs-CZ"/>
        </w:rPr>
        <w:drawing>
          <wp:inline distT="0" distB="0" distL="0" distR="0" wp14:anchorId="3D1A48E6" wp14:editId="346B7E1D">
            <wp:extent cx="5667375" cy="425053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501" cy="424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D48" w:rsidRDefault="005D7D48" w:rsidP="005D7D48"/>
    <w:p w:rsidR="005D7D48" w:rsidRDefault="005D7D48" w:rsidP="005D7D48"/>
    <w:p w:rsidR="005D7D48" w:rsidRDefault="005D7D48" w:rsidP="005D7D48"/>
    <w:p w:rsidR="005D7D48" w:rsidRDefault="005D7D48" w:rsidP="005D7D48">
      <w:pPr>
        <w:jc w:val="center"/>
        <w:rPr>
          <w:b/>
          <w:sz w:val="68"/>
          <w:szCs w:val="68"/>
        </w:rPr>
      </w:pPr>
      <w:r w:rsidRPr="003D3F52">
        <w:rPr>
          <w:b/>
          <w:sz w:val="68"/>
          <w:szCs w:val="68"/>
        </w:rPr>
        <w:t>Výroční zpráva za rok 201</w:t>
      </w:r>
      <w:r w:rsidR="00DE78C2">
        <w:rPr>
          <w:b/>
          <w:sz w:val="68"/>
          <w:szCs w:val="68"/>
        </w:rPr>
        <w:t>5</w:t>
      </w:r>
    </w:p>
    <w:p w:rsidR="005D7D48" w:rsidRPr="009B5658" w:rsidRDefault="005D7D48" w:rsidP="005D7D48">
      <w:pPr>
        <w:spacing w:after="200" w:line="276" w:lineRule="auto"/>
        <w:jc w:val="center"/>
        <w:rPr>
          <w:b/>
          <w:sz w:val="28"/>
          <w:szCs w:val="24"/>
        </w:rPr>
      </w:pPr>
      <w:r w:rsidRPr="009B5658">
        <w:rPr>
          <w:b/>
          <w:sz w:val="28"/>
          <w:szCs w:val="24"/>
        </w:rPr>
        <w:lastRenderedPageBreak/>
        <w:t>Zpráva o č</w:t>
      </w:r>
      <w:r>
        <w:rPr>
          <w:b/>
          <w:sz w:val="28"/>
          <w:szCs w:val="24"/>
        </w:rPr>
        <w:t>innosti Knihovny PřF za rok 201</w:t>
      </w:r>
      <w:r w:rsidR="00DE78C2">
        <w:rPr>
          <w:b/>
          <w:sz w:val="28"/>
          <w:szCs w:val="24"/>
        </w:rPr>
        <w:t>5</w:t>
      </w:r>
    </w:p>
    <w:p w:rsidR="005D7D48" w:rsidRPr="008D1B29" w:rsidRDefault="005D7D48" w:rsidP="005D7D48">
      <w:pPr>
        <w:spacing w:after="200" w:line="276" w:lineRule="auto"/>
        <w:rPr>
          <w:sz w:val="24"/>
          <w:szCs w:val="24"/>
        </w:rPr>
      </w:pPr>
      <w:r w:rsidRPr="008D1B29">
        <w:rPr>
          <w:sz w:val="24"/>
          <w:szCs w:val="24"/>
        </w:rPr>
        <w:t xml:space="preserve">Hlavní činností Knihovny </w:t>
      </w:r>
      <w:r>
        <w:rPr>
          <w:sz w:val="24"/>
          <w:szCs w:val="24"/>
        </w:rPr>
        <w:t xml:space="preserve">Přírodovědecké fakulty Univerzity Palackého v Olomouci (dále jen Knihovny </w:t>
      </w:r>
      <w:r w:rsidRPr="008D1B29">
        <w:rPr>
          <w:sz w:val="24"/>
          <w:szCs w:val="24"/>
        </w:rPr>
        <w:t>PřF)</w:t>
      </w:r>
      <w:r>
        <w:rPr>
          <w:sz w:val="24"/>
          <w:szCs w:val="24"/>
        </w:rPr>
        <w:t xml:space="preserve"> je shromažďování, zpra</w:t>
      </w:r>
      <w:r w:rsidRPr="008D1B29">
        <w:rPr>
          <w:sz w:val="24"/>
          <w:szCs w:val="24"/>
        </w:rPr>
        <w:t>covávání, uchovávání a zpřístupňování knihovních dokumentů a rovněž poskytováním knihovnicko-informačních služeb členům akademické obce UP i ostatním uživat</w:t>
      </w:r>
      <w:r>
        <w:rPr>
          <w:sz w:val="24"/>
          <w:szCs w:val="24"/>
        </w:rPr>
        <w:t>elům, čímž přispívá k plnění zá</w:t>
      </w:r>
      <w:r w:rsidRPr="008D1B29">
        <w:rPr>
          <w:sz w:val="24"/>
          <w:szCs w:val="24"/>
        </w:rPr>
        <w:t>kladních úkolů UP, zvláště pak k rozvoji její funkce vzdělávací a vědeckobadatelské.</w:t>
      </w:r>
    </w:p>
    <w:p w:rsidR="005D7D48" w:rsidRDefault="005D7D48" w:rsidP="005D7D4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Knihovna PřF je součástí Knihovny Univerzity Palackého a sídlí ve dvou objektech. Na adrese 17. listopadu 12, v budově PřF na Envelopě, je umístěn fond zejména z oborů </w:t>
      </w:r>
      <w:r w:rsidRPr="008D1B29">
        <w:rPr>
          <w:sz w:val="24"/>
          <w:szCs w:val="24"/>
        </w:rPr>
        <w:t xml:space="preserve">chemie, geologie, geografie, </w:t>
      </w:r>
      <w:r w:rsidR="00DE78C2">
        <w:rPr>
          <w:sz w:val="24"/>
          <w:szCs w:val="24"/>
        </w:rPr>
        <w:t xml:space="preserve">geoinformatiky, rozvojových studií, </w:t>
      </w:r>
      <w:r w:rsidRPr="008D1B29">
        <w:rPr>
          <w:sz w:val="24"/>
          <w:szCs w:val="24"/>
        </w:rPr>
        <w:t>fyziky, optiky, matematiky a informatiky</w:t>
      </w:r>
      <w:r>
        <w:rPr>
          <w:sz w:val="24"/>
          <w:szCs w:val="24"/>
        </w:rPr>
        <w:t xml:space="preserve">. Pobočka v areálu biologických oborů v Olomouci-Holici, na adrese Šlechtitelů 11, </w:t>
      </w:r>
      <w:r w:rsidRPr="008D1B29">
        <w:rPr>
          <w:sz w:val="24"/>
          <w:szCs w:val="24"/>
        </w:rPr>
        <w:t>pokrývá především oblasti botaniky, biochemie, buněčné biologie a ekologie.</w:t>
      </w:r>
    </w:p>
    <w:p w:rsidR="005D7D48" w:rsidRPr="009B5658" w:rsidRDefault="005D7D48" w:rsidP="005D7D48">
      <w:pPr>
        <w:spacing w:after="200" w:line="276" w:lineRule="auto"/>
        <w:rPr>
          <w:sz w:val="24"/>
          <w:szCs w:val="24"/>
        </w:rPr>
      </w:pPr>
      <w:r w:rsidRPr="009B5658">
        <w:rPr>
          <w:sz w:val="24"/>
          <w:szCs w:val="24"/>
        </w:rPr>
        <w:t>Rok 201</w:t>
      </w:r>
      <w:r w:rsidR="00DE78C2">
        <w:rPr>
          <w:sz w:val="24"/>
          <w:szCs w:val="24"/>
        </w:rPr>
        <w:t>5</w:t>
      </w:r>
      <w:r>
        <w:rPr>
          <w:sz w:val="24"/>
          <w:szCs w:val="24"/>
        </w:rPr>
        <w:t xml:space="preserve"> představoval pro K</w:t>
      </w:r>
      <w:r w:rsidRPr="009B5658">
        <w:rPr>
          <w:sz w:val="24"/>
          <w:szCs w:val="24"/>
        </w:rPr>
        <w:t xml:space="preserve">nihovnu PřF </w:t>
      </w:r>
      <w:r w:rsidR="0092499E">
        <w:rPr>
          <w:sz w:val="24"/>
          <w:szCs w:val="24"/>
        </w:rPr>
        <w:t>především</w:t>
      </w:r>
      <w:r w:rsidRPr="009B5658">
        <w:rPr>
          <w:sz w:val="24"/>
          <w:szCs w:val="24"/>
        </w:rPr>
        <w:t xml:space="preserve"> </w:t>
      </w:r>
      <w:r>
        <w:rPr>
          <w:sz w:val="24"/>
          <w:szCs w:val="24"/>
        </w:rPr>
        <w:t>pokračování spolupráce s</w:t>
      </w:r>
      <w:r w:rsidR="00882E10">
        <w:rPr>
          <w:sz w:val="24"/>
          <w:szCs w:val="24"/>
        </w:rPr>
        <w:t> </w:t>
      </w:r>
      <w:r>
        <w:rPr>
          <w:sz w:val="24"/>
          <w:szCs w:val="24"/>
        </w:rPr>
        <w:t>fakultou</w:t>
      </w:r>
      <w:r w:rsidR="00882E1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B5658">
        <w:rPr>
          <w:sz w:val="24"/>
          <w:szCs w:val="24"/>
        </w:rPr>
        <w:t xml:space="preserve">byly získány nemalé finanční prostředky </w:t>
      </w:r>
      <w:r w:rsidR="00882E10">
        <w:rPr>
          <w:sz w:val="24"/>
          <w:szCs w:val="24"/>
        </w:rPr>
        <w:t>z</w:t>
      </w:r>
      <w:r w:rsidRPr="009B5658">
        <w:rPr>
          <w:sz w:val="24"/>
          <w:szCs w:val="24"/>
        </w:rPr>
        <w:t xml:space="preserve"> děkanátu PřF.</w:t>
      </w:r>
    </w:p>
    <w:p w:rsidR="00CC26EF" w:rsidRDefault="00CC26EF" w:rsidP="005D7D4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5D7D48">
        <w:rPr>
          <w:sz w:val="24"/>
          <w:szCs w:val="24"/>
        </w:rPr>
        <w:t xml:space="preserve">nihovna </w:t>
      </w:r>
      <w:r>
        <w:rPr>
          <w:sz w:val="24"/>
          <w:szCs w:val="24"/>
        </w:rPr>
        <w:t xml:space="preserve">na Envelopě je </w:t>
      </w:r>
      <w:r w:rsidR="005D7D48">
        <w:rPr>
          <w:sz w:val="24"/>
          <w:szCs w:val="24"/>
        </w:rPr>
        <w:t>v současné době dobře vybavena</w:t>
      </w:r>
      <w:r>
        <w:rPr>
          <w:sz w:val="24"/>
          <w:szCs w:val="24"/>
        </w:rPr>
        <w:t>. Z prostoru v Holici byla vystěhována počítačová učebna, která byla vyu</w:t>
      </w:r>
      <w:r w:rsidR="0044406A">
        <w:rPr>
          <w:sz w:val="24"/>
          <w:szCs w:val="24"/>
        </w:rPr>
        <w:t>žívána i jako výuková místnost.</w:t>
      </w:r>
      <w:r w:rsidR="008E6D81">
        <w:rPr>
          <w:sz w:val="24"/>
          <w:szCs w:val="24"/>
        </w:rPr>
        <w:t xml:space="preserve"> </w:t>
      </w:r>
      <w:r w:rsidR="0044406A">
        <w:rPr>
          <w:sz w:val="24"/>
          <w:szCs w:val="24"/>
        </w:rPr>
        <w:t>K</w:t>
      </w:r>
      <w:r w:rsidR="008E6D81">
        <w:rPr>
          <w:sz w:val="24"/>
          <w:szCs w:val="24"/>
        </w:rPr>
        <w:t>nihovna</w:t>
      </w:r>
      <w:r w:rsidR="0044406A">
        <w:rPr>
          <w:sz w:val="24"/>
          <w:szCs w:val="24"/>
        </w:rPr>
        <w:t xml:space="preserve"> tak </w:t>
      </w:r>
      <w:r w:rsidR="008E6D81">
        <w:rPr>
          <w:sz w:val="24"/>
          <w:szCs w:val="24"/>
        </w:rPr>
        <w:t xml:space="preserve">získala nejen prostor, ale především více klidu pro své uživatele, kteří </w:t>
      </w:r>
      <w:r w:rsidR="00882E10">
        <w:rPr>
          <w:sz w:val="24"/>
          <w:szCs w:val="24"/>
        </w:rPr>
        <w:t xml:space="preserve">se při studiu </w:t>
      </w:r>
      <w:r w:rsidR="008E6D81">
        <w:rPr>
          <w:sz w:val="24"/>
          <w:szCs w:val="24"/>
        </w:rPr>
        <w:t xml:space="preserve">často cítili výukou rušeni. </w:t>
      </w:r>
    </w:p>
    <w:p w:rsidR="000C612D" w:rsidRDefault="000C612D" w:rsidP="005D7D4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V závěru roku 2014 byl pořízen samoobslužný návratový box (bibliobox). Uživatelé si na novou možnost vracení rychle zvykli. V roce 2015 bylo pře</w:t>
      </w:r>
      <w:r w:rsidR="005140AF">
        <w:rPr>
          <w:sz w:val="24"/>
          <w:szCs w:val="24"/>
        </w:rPr>
        <w:t>s</w:t>
      </w:r>
      <w:r>
        <w:rPr>
          <w:sz w:val="24"/>
          <w:szCs w:val="24"/>
        </w:rPr>
        <w:t xml:space="preserve"> bibl</w:t>
      </w:r>
      <w:r w:rsidR="005140AF">
        <w:rPr>
          <w:sz w:val="24"/>
          <w:szCs w:val="24"/>
        </w:rPr>
        <w:t>i</w:t>
      </w:r>
      <w:r>
        <w:rPr>
          <w:sz w:val="24"/>
          <w:szCs w:val="24"/>
        </w:rPr>
        <w:t>obox vráceno 1021 knih.</w:t>
      </w:r>
    </w:p>
    <w:p w:rsidR="0092499E" w:rsidRDefault="005D7D48" w:rsidP="005D7D4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Nadále se pokrač</w:t>
      </w:r>
      <w:r w:rsidR="000C612D">
        <w:rPr>
          <w:sz w:val="24"/>
          <w:szCs w:val="24"/>
        </w:rPr>
        <w:t>uje</w:t>
      </w:r>
      <w:r>
        <w:rPr>
          <w:sz w:val="24"/>
          <w:szCs w:val="24"/>
        </w:rPr>
        <w:t xml:space="preserve"> v opravách knižního fondu. Vedle oprav poškozených knih brněnsk</w:t>
      </w:r>
      <w:r w:rsidR="000C612D">
        <w:rPr>
          <w:sz w:val="24"/>
          <w:szCs w:val="24"/>
        </w:rPr>
        <w:t>ou firmou Tribun EU (19</w:t>
      </w:r>
      <w:r>
        <w:rPr>
          <w:sz w:val="24"/>
          <w:szCs w:val="24"/>
        </w:rPr>
        <w:t xml:space="preserve"> ks</w:t>
      </w:r>
      <w:r w:rsidR="000C612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se také provádí obalování samolepící fólií, díky níž </w:t>
      </w:r>
      <w:r w:rsidR="005140AF">
        <w:rPr>
          <w:sz w:val="24"/>
          <w:szCs w:val="24"/>
        </w:rPr>
        <w:t xml:space="preserve">jsou knihy mnohem lépe chráněny. </w:t>
      </w:r>
    </w:p>
    <w:p w:rsidR="005D7D48" w:rsidRPr="00CB107B" w:rsidRDefault="0092499E" w:rsidP="005D7D4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V letních měsících dochází k revizi fondu a vyřazování zastaralých knih tak</w:t>
      </w:r>
      <w:r w:rsidR="00884314">
        <w:rPr>
          <w:sz w:val="24"/>
          <w:szCs w:val="24"/>
        </w:rPr>
        <w:t>,</w:t>
      </w:r>
      <w:r>
        <w:rPr>
          <w:sz w:val="24"/>
          <w:szCs w:val="24"/>
        </w:rPr>
        <w:t xml:space="preserve"> aby knihovní fond co nejvíce odpovídal potřebám uživatelů i nárokům dnešní doby.</w:t>
      </w:r>
    </w:p>
    <w:p w:rsidR="005D7D48" w:rsidRPr="00E41450" w:rsidRDefault="005D7D48" w:rsidP="005D7D48">
      <w:pPr>
        <w:rPr>
          <w:rFonts w:cs="Arial"/>
          <w:sz w:val="24"/>
          <w:szCs w:val="24"/>
        </w:rPr>
      </w:pPr>
    </w:p>
    <w:p w:rsidR="005D7D48" w:rsidRDefault="005D7D48" w:rsidP="005D7D48">
      <w:pPr>
        <w:spacing w:after="200" w:line="276" w:lineRule="auto"/>
        <w:rPr>
          <w:sz w:val="24"/>
          <w:szCs w:val="24"/>
        </w:rPr>
      </w:pPr>
    </w:p>
    <w:p w:rsidR="00884314" w:rsidRDefault="00884314" w:rsidP="005D7D48">
      <w:pPr>
        <w:spacing w:after="200" w:line="276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884314" w:rsidRDefault="00884314" w:rsidP="005D7D48">
      <w:pPr>
        <w:spacing w:after="200" w:line="276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884314" w:rsidRDefault="00884314" w:rsidP="005D7D48">
      <w:pPr>
        <w:spacing w:after="200" w:line="276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884314" w:rsidRDefault="00884314" w:rsidP="005D7D48">
      <w:pPr>
        <w:spacing w:after="200" w:line="276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884314" w:rsidRDefault="00884314" w:rsidP="005D7D48">
      <w:pPr>
        <w:spacing w:after="200" w:line="276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884314" w:rsidRDefault="00884314" w:rsidP="005D7D48">
      <w:pPr>
        <w:spacing w:after="200" w:line="276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5D7D48" w:rsidRDefault="00884314" w:rsidP="0031258E">
      <w:pPr>
        <w:rPr>
          <w:b/>
          <w:sz w:val="24"/>
          <w:szCs w:val="24"/>
          <w:lang w:eastAsia="cs-CZ"/>
        </w:rPr>
      </w:pPr>
      <w:r w:rsidRPr="0031258E">
        <w:rPr>
          <w:b/>
          <w:sz w:val="24"/>
          <w:szCs w:val="24"/>
          <w:lang w:eastAsia="cs-CZ"/>
        </w:rPr>
        <w:lastRenderedPageBreak/>
        <w:t>Finanční prostředky Knihovny PřF</w:t>
      </w:r>
    </w:p>
    <w:p w:rsidR="0031258E" w:rsidRDefault="0031258E" w:rsidP="0031258E">
      <w:pPr>
        <w:rPr>
          <w:b/>
          <w:sz w:val="24"/>
          <w:szCs w:val="24"/>
          <w:lang w:eastAsia="cs-CZ"/>
        </w:rPr>
      </w:pPr>
    </w:p>
    <w:p w:rsidR="0031258E" w:rsidRDefault="0001330C" w:rsidP="00856C51">
      <w:pPr>
        <w:spacing w:after="200" w:line="276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Knihovna PřF získala pro rok 2015 z rozpočtu fakulty částku 250.000,- Kč. Z podstatné části byla využita k nákupu časopisu Science, předplatné pro rok 2016. Vzhledem k nepříznivému kurzu koruny k dolaru došlo k výraznému nárůstu ceny tohoto informačního zdroje oproti předchozímu roku</w:t>
      </w:r>
      <w:r w:rsidR="00FC0D1E">
        <w:rPr>
          <w:sz w:val="24"/>
          <w:szCs w:val="24"/>
          <w:lang w:eastAsia="cs-CZ"/>
        </w:rPr>
        <w:t xml:space="preserve"> (cena předplatného pro</w:t>
      </w:r>
      <w:r w:rsidR="00856C51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 xml:space="preserve">rok </w:t>
      </w:r>
      <w:r w:rsidR="00856C51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2015 – 171.592,52 Kč)</w:t>
      </w:r>
      <w:r w:rsidR="00856C51">
        <w:rPr>
          <w:sz w:val="24"/>
          <w:szCs w:val="24"/>
          <w:lang w:eastAsia="cs-CZ"/>
        </w:rPr>
        <w:t>.</w:t>
      </w:r>
      <w:r>
        <w:rPr>
          <w:sz w:val="24"/>
          <w:szCs w:val="24"/>
          <w:lang w:eastAsia="cs-CZ"/>
        </w:rPr>
        <w:t xml:space="preserve"> </w:t>
      </w:r>
      <w:r w:rsidR="00856C51">
        <w:rPr>
          <w:sz w:val="24"/>
          <w:szCs w:val="24"/>
          <w:lang w:eastAsia="cs-CZ"/>
        </w:rPr>
        <w:t>P</w:t>
      </w:r>
      <w:r>
        <w:rPr>
          <w:sz w:val="24"/>
          <w:szCs w:val="24"/>
          <w:lang w:eastAsia="cs-CZ"/>
        </w:rPr>
        <w:t>okles ceny v dalších letech nelze očekávat, spíše naopak. Knihovna rovněž nakoupila studijní literaturu. Nemalá částka byla použita pro nutné opravy knih, nákup zarážek a dalšího spotřebního materiálu. Větší položkou rozpočtu bylo letní malování obou knihoven – na Envelopě i na Holici.</w:t>
      </w:r>
    </w:p>
    <w:tbl>
      <w:tblPr>
        <w:tblW w:w="8336" w:type="dxa"/>
        <w:jc w:val="center"/>
        <w:tblInd w:w="-3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7"/>
        <w:gridCol w:w="2409"/>
      </w:tblGrid>
      <w:tr w:rsidR="005D7D48" w:rsidRPr="0031258E" w:rsidTr="009957C5">
        <w:trPr>
          <w:trHeight w:val="300"/>
          <w:jc w:val="center"/>
        </w:trPr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D48" w:rsidRPr="0031258E" w:rsidRDefault="005D7D48" w:rsidP="0001330C">
            <w:pPr>
              <w:spacing w:line="360" w:lineRule="auto"/>
              <w:jc w:val="lef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5D7D48" w:rsidRPr="002D0451" w:rsidTr="009957C5">
        <w:trPr>
          <w:trHeight w:val="218"/>
          <w:jc w:val="center"/>
        </w:trPr>
        <w:tc>
          <w:tcPr>
            <w:tcW w:w="59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D48" w:rsidRPr="002D0451" w:rsidRDefault="005D7D48" w:rsidP="009608A5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D48" w:rsidRPr="002D0451" w:rsidRDefault="005D7D48" w:rsidP="009608A5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</w:p>
        </w:tc>
      </w:tr>
      <w:tr w:rsidR="005D7D48" w:rsidRPr="002D0451" w:rsidTr="009957C5">
        <w:trPr>
          <w:trHeight w:val="404"/>
          <w:jc w:val="center"/>
        </w:trPr>
        <w:tc>
          <w:tcPr>
            <w:tcW w:w="592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48" w:rsidRPr="002D0451" w:rsidRDefault="00FC0D1E" w:rsidP="00C16934">
            <w:pPr>
              <w:jc w:val="left"/>
              <w:rPr>
                <w:rFonts w:eastAsia="Times New Roman" w:cs="Arial"/>
                <w:b/>
                <w:bCs/>
                <w:color w:val="000000"/>
                <w:sz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lang w:eastAsia="cs-CZ"/>
              </w:rPr>
              <w:t>Čerpání rozpočtu Knihovny PřF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7D48" w:rsidRPr="002D0451" w:rsidRDefault="005D7D48" w:rsidP="00C16934">
            <w:pPr>
              <w:jc w:val="right"/>
              <w:rPr>
                <w:rFonts w:eastAsia="Times New Roman" w:cs="Arial"/>
                <w:b/>
                <w:bCs/>
                <w:color w:val="000000"/>
                <w:sz w:val="24"/>
                <w:lang w:eastAsia="cs-CZ"/>
              </w:rPr>
            </w:pPr>
            <w:r w:rsidRPr="002D0451">
              <w:rPr>
                <w:rFonts w:eastAsia="Times New Roman" w:cs="Arial"/>
                <w:b/>
                <w:bCs/>
                <w:color w:val="000000"/>
                <w:sz w:val="24"/>
                <w:lang w:eastAsia="cs-CZ"/>
              </w:rPr>
              <w:t>Cena</w:t>
            </w:r>
          </w:p>
        </w:tc>
      </w:tr>
      <w:tr w:rsidR="005D7D48" w:rsidRPr="002D0451" w:rsidTr="009957C5">
        <w:trPr>
          <w:trHeight w:val="300"/>
          <w:jc w:val="center"/>
        </w:trPr>
        <w:tc>
          <w:tcPr>
            <w:tcW w:w="59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48" w:rsidRPr="002D0451" w:rsidRDefault="005D7D48" w:rsidP="00C16934">
            <w:pPr>
              <w:jc w:val="left"/>
              <w:rPr>
                <w:rFonts w:eastAsia="Times New Roman" w:cs="Arial"/>
                <w:color w:val="000000"/>
                <w:sz w:val="24"/>
                <w:lang w:eastAsia="cs-CZ"/>
              </w:rPr>
            </w:pPr>
            <w:r w:rsidRPr="000C33B0">
              <w:rPr>
                <w:rFonts w:eastAsia="Times New Roman" w:cs="Arial"/>
                <w:color w:val="000000"/>
                <w:sz w:val="24"/>
                <w:lang w:eastAsia="cs-CZ"/>
              </w:rPr>
              <w:t>Knihy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7D48" w:rsidRPr="002D0451" w:rsidRDefault="00BD0C9C" w:rsidP="00C16934">
            <w:pPr>
              <w:jc w:val="right"/>
              <w:rPr>
                <w:rFonts w:eastAsia="Times New Roman" w:cs="Arial"/>
                <w:color w:val="000000"/>
                <w:sz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lang w:eastAsia="cs-CZ"/>
              </w:rPr>
              <w:t>1</w:t>
            </w:r>
            <w:r w:rsidR="00E23484">
              <w:rPr>
                <w:rFonts w:eastAsia="Times New Roman" w:cs="Arial"/>
                <w:color w:val="000000"/>
                <w:sz w:val="24"/>
                <w:lang w:eastAsia="cs-CZ"/>
              </w:rPr>
              <w:t>8</w:t>
            </w:r>
            <w:r w:rsidR="00425AD6">
              <w:rPr>
                <w:rFonts w:eastAsia="Times New Roman" w:cs="Arial"/>
                <w:color w:val="000000"/>
                <w:sz w:val="24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lang w:eastAsia="cs-CZ"/>
              </w:rPr>
              <w:t>712</w:t>
            </w:r>
            <w:r w:rsidR="00E23484">
              <w:rPr>
                <w:rFonts w:eastAsia="Times New Roman" w:cs="Arial"/>
                <w:color w:val="000000"/>
                <w:sz w:val="24"/>
                <w:lang w:eastAsia="cs-CZ"/>
              </w:rPr>
              <w:t>,00</w:t>
            </w:r>
            <w:r w:rsidR="005D7D48" w:rsidRPr="002D0451">
              <w:rPr>
                <w:rFonts w:eastAsia="Times New Roman" w:cs="Arial"/>
                <w:color w:val="000000"/>
                <w:sz w:val="24"/>
                <w:lang w:eastAsia="cs-CZ"/>
              </w:rPr>
              <w:t xml:space="preserve"> Kč</w:t>
            </w:r>
          </w:p>
        </w:tc>
      </w:tr>
      <w:tr w:rsidR="00E23484" w:rsidRPr="002D0451" w:rsidTr="009957C5">
        <w:trPr>
          <w:trHeight w:val="285"/>
          <w:jc w:val="center"/>
        </w:trPr>
        <w:tc>
          <w:tcPr>
            <w:tcW w:w="59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84" w:rsidRPr="002D0451" w:rsidRDefault="00E23484" w:rsidP="00C16934">
            <w:pPr>
              <w:jc w:val="left"/>
              <w:rPr>
                <w:rFonts w:eastAsia="Times New Roman" w:cs="Arial"/>
                <w:sz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lang w:eastAsia="cs-CZ"/>
              </w:rPr>
              <w:t>Čas. Science</w:t>
            </w:r>
            <w:r w:rsidR="00853839">
              <w:rPr>
                <w:rFonts w:eastAsia="Times New Roman" w:cs="Arial"/>
                <w:color w:val="000000"/>
                <w:sz w:val="24"/>
                <w:lang w:eastAsia="cs-CZ"/>
              </w:rPr>
              <w:t xml:space="preserve"> (předpl. 2016)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23484" w:rsidRPr="002D0451" w:rsidRDefault="00E23484" w:rsidP="00C16934">
            <w:pPr>
              <w:jc w:val="right"/>
              <w:rPr>
                <w:rFonts w:eastAsia="Times New Roman" w:cs="Arial"/>
                <w:color w:val="000000"/>
                <w:sz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lang w:eastAsia="cs-CZ"/>
              </w:rPr>
              <w:t>1</w:t>
            </w:r>
            <w:r w:rsidR="00853839">
              <w:rPr>
                <w:rFonts w:eastAsia="Times New Roman" w:cs="Arial"/>
                <w:color w:val="000000"/>
                <w:sz w:val="24"/>
                <w:lang w:eastAsia="cs-CZ"/>
              </w:rPr>
              <w:t>98</w:t>
            </w:r>
            <w:r>
              <w:rPr>
                <w:rFonts w:eastAsia="Times New Roman" w:cs="Arial"/>
                <w:color w:val="000000"/>
                <w:sz w:val="24"/>
                <w:lang w:eastAsia="cs-CZ"/>
              </w:rPr>
              <w:t> 5</w:t>
            </w:r>
            <w:r w:rsidR="00853839">
              <w:rPr>
                <w:rFonts w:eastAsia="Times New Roman" w:cs="Arial"/>
                <w:color w:val="000000"/>
                <w:sz w:val="24"/>
                <w:lang w:eastAsia="cs-CZ"/>
              </w:rPr>
              <w:t>19</w:t>
            </w:r>
            <w:r>
              <w:rPr>
                <w:rFonts w:eastAsia="Times New Roman" w:cs="Arial"/>
                <w:color w:val="000000"/>
                <w:sz w:val="24"/>
                <w:lang w:eastAsia="cs-CZ"/>
              </w:rPr>
              <w:t>,00 Kč</w:t>
            </w:r>
          </w:p>
        </w:tc>
      </w:tr>
      <w:tr w:rsidR="005D7D48" w:rsidRPr="002D0451" w:rsidTr="009957C5">
        <w:trPr>
          <w:trHeight w:val="285"/>
          <w:jc w:val="center"/>
        </w:trPr>
        <w:tc>
          <w:tcPr>
            <w:tcW w:w="59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48" w:rsidRPr="002D0451" w:rsidRDefault="005D7D48" w:rsidP="00C16934">
            <w:pPr>
              <w:jc w:val="left"/>
              <w:rPr>
                <w:rFonts w:eastAsia="Times New Roman" w:cs="Arial"/>
                <w:sz w:val="24"/>
                <w:lang w:eastAsia="cs-CZ"/>
              </w:rPr>
            </w:pPr>
            <w:r w:rsidRPr="002D0451">
              <w:rPr>
                <w:rFonts w:eastAsia="Times New Roman" w:cs="Arial"/>
                <w:sz w:val="24"/>
                <w:lang w:eastAsia="cs-CZ"/>
              </w:rPr>
              <w:t>Opravy knih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7D48" w:rsidRPr="002D0451" w:rsidRDefault="005D7D48" w:rsidP="00C16934">
            <w:pPr>
              <w:jc w:val="right"/>
              <w:rPr>
                <w:rFonts w:eastAsia="Times New Roman" w:cs="Arial"/>
                <w:color w:val="000000"/>
                <w:sz w:val="24"/>
                <w:lang w:eastAsia="cs-CZ"/>
              </w:rPr>
            </w:pPr>
            <w:r w:rsidRPr="002D0451">
              <w:rPr>
                <w:rFonts w:eastAsia="Times New Roman" w:cs="Arial"/>
                <w:color w:val="000000"/>
                <w:sz w:val="24"/>
                <w:lang w:eastAsia="cs-CZ"/>
              </w:rPr>
              <w:t xml:space="preserve">1 </w:t>
            </w:r>
            <w:r w:rsidR="000C612D">
              <w:rPr>
                <w:rFonts w:eastAsia="Times New Roman" w:cs="Arial"/>
                <w:color w:val="000000"/>
                <w:sz w:val="24"/>
                <w:lang w:eastAsia="cs-CZ"/>
              </w:rPr>
              <w:t>860</w:t>
            </w:r>
            <w:r w:rsidRPr="002D0451">
              <w:rPr>
                <w:rFonts w:eastAsia="Times New Roman" w:cs="Arial"/>
                <w:color w:val="000000"/>
                <w:sz w:val="24"/>
                <w:lang w:eastAsia="cs-CZ"/>
              </w:rPr>
              <w:t>,00 Kč</w:t>
            </w:r>
          </w:p>
        </w:tc>
      </w:tr>
      <w:tr w:rsidR="000C612D" w:rsidRPr="002D0451" w:rsidTr="009957C5">
        <w:trPr>
          <w:trHeight w:val="285"/>
          <w:jc w:val="center"/>
        </w:trPr>
        <w:tc>
          <w:tcPr>
            <w:tcW w:w="59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2D" w:rsidRPr="002D0451" w:rsidRDefault="00A34AFF" w:rsidP="00C16934">
            <w:pPr>
              <w:jc w:val="left"/>
              <w:rPr>
                <w:rFonts w:eastAsia="Times New Roman" w:cs="Arial"/>
                <w:color w:val="000000"/>
                <w:sz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lang w:eastAsia="cs-CZ"/>
              </w:rPr>
              <w:t>Z</w:t>
            </w:r>
            <w:r w:rsidR="000C612D" w:rsidRPr="002D0451">
              <w:rPr>
                <w:rFonts w:eastAsia="Times New Roman" w:cs="Arial"/>
                <w:color w:val="000000"/>
                <w:sz w:val="24"/>
                <w:lang w:eastAsia="cs-CZ"/>
              </w:rPr>
              <w:t>arážky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612D" w:rsidRPr="002D0451" w:rsidRDefault="000C612D" w:rsidP="00C16934">
            <w:pPr>
              <w:jc w:val="right"/>
              <w:rPr>
                <w:rFonts w:eastAsia="Times New Roman" w:cs="Arial"/>
                <w:color w:val="000000"/>
                <w:sz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lang w:eastAsia="cs-CZ"/>
              </w:rPr>
              <w:t>2 735</w:t>
            </w:r>
            <w:r w:rsidRPr="002D0451">
              <w:rPr>
                <w:rFonts w:eastAsia="Times New Roman" w:cs="Arial"/>
                <w:color w:val="000000"/>
                <w:sz w:val="24"/>
                <w:lang w:eastAsia="cs-CZ"/>
              </w:rPr>
              <w:t>,00 Kč</w:t>
            </w:r>
          </w:p>
        </w:tc>
      </w:tr>
      <w:tr w:rsidR="000C612D" w:rsidRPr="002D0451" w:rsidTr="009957C5">
        <w:trPr>
          <w:trHeight w:val="285"/>
          <w:jc w:val="center"/>
        </w:trPr>
        <w:tc>
          <w:tcPr>
            <w:tcW w:w="5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2D" w:rsidRPr="002D0451" w:rsidRDefault="000C612D" w:rsidP="00C16934">
            <w:pPr>
              <w:jc w:val="left"/>
              <w:rPr>
                <w:rFonts w:eastAsia="Times New Roman" w:cs="Arial"/>
                <w:color w:val="000000"/>
                <w:sz w:val="24"/>
                <w:lang w:eastAsia="cs-CZ"/>
              </w:rPr>
            </w:pPr>
            <w:r w:rsidRPr="002D0451">
              <w:rPr>
                <w:rFonts w:eastAsia="Times New Roman" w:cs="Arial"/>
                <w:color w:val="000000"/>
                <w:sz w:val="24"/>
                <w:lang w:eastAsia="cs-CZ"/>
              </w:rPr>
              <w:t>Spotřební materiál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612D" w:rsidRPr="002D0451" w:rsidRDefault="000C612D" w:rsidP="00C16934">
            <w:pPr>
              <w:jc w:val="right"/>
              <w:rPr>
                <w:rFonts w:eastAsia="Times New Roman" w:cs="Arial"/>
                <w:color w:val="000000"/>
                <w:sz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lang w:eastAsia="cs-CZ"/>
              </w:rPr>
              <w:t>4 374,00</w:t>
            </w:r>
            <w:r w:rsidRPr="002D0451">
              <w:rPr>
                <w:rFonts w:eastAsia="Times New Roman" w:cs="Arial"/>
                <w:color w:val="000000"/>
                <w:sz w:val="24"/>
                <w:lang w:eastAsia="cs-CZ"/>
              </w:rPr>
              <w:t xml:space="preserve"> Kč</w:t>
            </w:r>
          </w:p>
        </w:tc>
      </w:tr>
      <w:tr w:rsidR="00A55DA8" w:rsidRPr="002D0451" w:rsidTr="009957C5">
        <w:trPr>
          <w:trHeight w:val="285"/>
          <w:jc w:val="center"/>
        </w:trPr>
        <w:tc>
          <w:tcPr>
            <w:tcW w:w="5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55DA8" w:rsidRDefault="00D112AD" w:rsidP="00C16934">
            <w:pPr>
              <w:jc w:val="left"/>
              <w:rPr>
                <w:rFonts w:eastAsia="Times New Roman" w:cs="Arial"/>
                <w:color w:val="000000"/>
                <w:sz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lang w:eastAsia="cs-CZ"/>
              </w:rPr>
              <w:t>O</w:t>
            </w:r>
            <w:r w:rsidR="00A55DA8">
              <w:rPr>
                <w:rFonts w:eastAsia="Times New Roman" w:cs="Arial"/>
                <w:color w:val="000000"/>
                <w:sz w:val="24"/>
                <w:lang w:eastAsia="cs-CZ"/>
              </w:rPr>
              <w:t>dměny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5DA8" w:rsidRDefault="003033DC" w:rsidP="00C16934">
            <w:pPr>
              <w:jc w:val="right"/>
              <w:rPr>
                <w:rFonts w:eastAsia="Times New Roman" w:cs="Arial"/>
                <w:color w:val="000000"/>
                <w:sz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lang w:eastAsia="cs-CZ"/>
              </w:rPr>
              <w:t>14</w:t>
            </w:r>
            <w:r w:rsidR="001772D7">
              <w:rPr>
                <w:rFonts w:eastAsia="Times New Roman" w:cs="Arial"/>
                <w:color w:val="000000"/>
                <w:sz w:val="24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lang w:eastAsia="cs-CZ"/>
              </w:rPr>
              <w:t>500,00 Kč</w:t>
            </w:r>
          </w:p>
        </w:tc>
      </w:tr>
      <w:tr w:rsidR="000B438C" w:rsidRPr="002D0451" w:rsidTr="009957C5">
        <w:trPr>
          <w:trHeight w:val="285"/>
          <w:jc w:val="center"/>
        </w:trPr>
        <w:tc>
          <w:tcPr>
            <w:tcW w:w="5927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8C" w:rsidRPr="002D0451" w:rsidRDefault="00E23484" w:rsidP="00C16934">
            <w:pPr>
              <w:jc w:val="left"/>
              <w:rPr>
                <w:rFonts w:eastAsia="Times New Roman" w:cs="Arial"/>
                <w:color w:val="000000"/>
                <w:sz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lang w:eastAsia="cs-CZ"/>
              </w:rPr>
              <w:t>Malováni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B438C" w:rsidRDefault="00E23484" w:rsidP="00C16934">
            <w:pPr>
              <w:jc w:val="right"/>
              <w:rPr>
                <w:rFonts w:eastAsia="Times New Roman" w:cs="Arial"/>
                <w:color w:val="000000"/>
                <w:sz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lang w:eastAsia="cs-CZ"/>
              </w:rPr>
              <w:t>32 000,00 Kč</w:t>
            </w:r>
          </w:p>
        </w:tc>
      </w:tr>
      <w:tr w:rsidR="000C612D" w:rsidRPr="002D0451" w:rsidTr="009957C5">
        <w:trPr>
          <w:trHeight w:val="285"/>
          <w:jc w:val="center"/>
        </w:trPr>
        <w:tc>
          <w:tcPr>
            <w:tcW w:w="59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2D" w:rsidRPr="002D0451" w:rsidRDefault="000C612D" w:rsidP="00C16934">
            <w:pPr>
              <w:jc w:val="left"/>
              <w:rPr>
                <w:rFonts w:eastAsia="Times New Roman" w:cs="Arial"/>
                <w:color w:val="000000"/>
                <w:sz w:val="24"/>
                <w:lang w:eastAsia="cs-CZ"/>
              </w:rPr>
            </w:pPr>
            <w:r w:rsidRPr="002D0451">
              <w:rPr>
                <w:rFonts w:eastAsia="Times New Roman" w:cs="Arial"/>
                <w:color w:val="000000"/>
                <w:sz w:val="24"/>
                <w:lang w:eastAsia="cs-CZ"/>
              </w:rPr>
              <w:t>Celková částka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612D" w:rsidRPr="002D0451" w:rsidRDefault="001772D7" w:rsidP="00C16934">
            <w:pPr>
              <w:jc w:val="right"/>
              <w:rPr>
                <w:rFonts w:eastAsia="Times New Roman" w:cs="Arial"/>
                <w:color w:val="000000"/>
                <w:sz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lang w:eastAsia="cs-CZ"/>
              </w:rPr>
              <w:t>272</w:t>
            </w:r>
            <w:r w:rsidR="00BD0C9C">
              <w:rPr>
                <w:rFonts w:eastAsia="Times New Roman" w:cs="Arial"/>
                <w:color w:val="000000"/>
                <w:sz w:val="24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24"/>
                <w:lang w:eastAsia="cs-CZ"/>
              </w:rPr>
              <w:t>7</w:t>
            </w:r>
            <w:r w:rsidR="00BD0C9C">
              <w:rPr>
                <w:rFonts w:eastAsia="Times New Roman" w:cs="Arial"/>
                <w:color w:val="000000"/>
                <w:sz w:val="24"/>
                <w:lang w:eastAsia="cs-CZ"/>
              </w:rPr>
              <w:t xml:space="preserve">00,00 </w:t>
            </w:r>
            <w:r w:rsidR="000C612D" w:rsidRPr="002D0451">
              <w:rPr>
                <w:rFonts w:eastAsia="Times New Roman" w:cs="Arial"/>
                <w:color w:val="000000"/>
                <w:sz w:val="24"/>
                <w:lang w:eastAsia="cs-CZ"/>
              </w:rPr>
              <w:t>Kč</w:t>
            </w:r>
          </w:p>
        </w:tc>
      </w:tr>
    </w:tbl>
    <w:p w:rsidR="00973D24" w:rsidRDefault="00973D24" w:rsidP="00973D24">
      <w:pPr>
        <w:spacing w:after="200" w:line="276" w:lineRule="auto"/>
        <w:rPr>
          <w:sz w:val="24"/>
          <w:szCs w:val="24"/>
          <w:lang w:eastAsia="cs-CZ"/>
        </w:rPr>
      </w:pPr>
    </w:p>
    <w:p w:rsidR="00E67B23" w:rsidRDefault="00E67B23" w:rsidP="00973D24">
      <w:pPr>
        <w:spacing w:after="200" w:line="276" w:lineRule="auto"/>
        <w:rPr>
          <w:sz w:val="24"/>
          <w:szCs w:val="24"/>
          <w:lang w:eastAsia="cs-CZ"/>
        </w:rPr>
      </w:pPr>
    </w:p>
    <w:p w:rsidR="00973D24" w:rsidRPr="00FC0D1E" w:rsidRDefault="00973D24" w:rsidP="00973D24">
      <w:pPr>
        <w:spacing w:after="200" w:line="276" w:lineRule="auto"/>
        <w:rPr>
          <w:sz w:val="24"/>
          <w:szCs w:val="24"/>
          <w:lang w:eastAsia="cs-CZ"/>
        </w:rPr>
      </w:pPr>
      <w:bookmarkStart w:id="0" w:name="_GoBack"/>
      <w:bookmarkEnd w:id="0"/>
      <w:r>
        <w:rPr>
          <w:sz w:val="24"/>
          <w:szCs w:val="24"/>
          <w:lang w:eastAsia="cs-CZ"/>
        </w:rPr>
        <w:t>Z prostředků Knihovny UP byl zakoupen drobný kancelářský materiál. Knihovn</w:t>
      </w:r>
      <w:r w:rsidR="009C3720">
        <w:rPr>
          <w:sz w:val="24"/>
          <w:szCs w:val="24"/>
          <w:lang w:eastAsia="cs-CZ"/>
        </w:rPr>
        <w:t>a</w:t>
      </w:r>
      <w:r>
        <w:rPr>
          <w:sz w:val="24"/>
          <w:szCs w:val="24"/>
          <w:lang w:eastAsia="cs-CZ"/>
        </w:rPr>
        <w:t xml:space="preserve"> UP získává na svoji činnost z univerzity dotaci ve výši 23.400.000,- Kč. Z této částky je 92-95</w:t>
      </w:r>
      <w:r w:rsidRPr="0057552B">
        <w:rPr>
          <w:sz w:val="24"/>
          <w:szCs w:val="24"/>
          <w:lang w:eastAsia="cs-CZ"/>
        </w:rPr>
        <w:t>%</w:t>
      </w:r>
      <w:r>
        <w:rPr>
          <w:sz w:val="24"/>
          <w:szCs w:val="24"/>
          <w:lang w:eastAsia="cs-CZ"/>
        </w:rPr>
        <w:t xml:space="preserve"> využito na mzdy zaměstnanců, pojištění a sociální fond. Výnosy jsou zhruba ve výši 600.000,- Kč, tvoří je pokuty, platby za kopírování a platby členských příspěvků uživatelů Britského centra. Z výnosů se hradí provozní náklady, tedy provoz Zbrojnice, nákup počítačů a tonerů a kancelářského vybavení, malování atd. Dlouhodobě nezbývá mnoho prostředků a trvale platí, že je nutné výrazně šetřit. </w:t>
      </w:r>
    </w:p>
    <w:p w:rsidR="005D7D48" w:rsidRDefault="005D7D48" w:rsidP="005D7D48">
      <w:pPr>
        <w:spacing w:before="360" w:after="200" w:line="276" w:lineRule="auto"/>
        <w:rPr>
          <w:b/>
          <w:sz w:val="24"/>
          <w:szCs w:val="24"/>
        </w:rPr>
      </w:pPr>
    </w:p>
    <w:p w:rsidR="005D7D48" w:rsidRPr="009B5658" w:rsidRDefault="005D7D48" w:rsidP="005D7D48">
      <w:pPr>
        <w:spacing w:before="360" w:after="200" w:line="276" w:lineRule="auto"/>
        <w:rPr>
          <w:b/>
          <w:sz w:val="24"/>
          <w:szCs w:val="24"/>
        </w:rPr>
      </w:pPr>
      <w:r w:rsidRPr="009B5658">
        <w:rPr>
          <w:b/>
          <w:sz w:val="24"/>
          <w:szCs w:val="24"/>
        </w:rPr>
        <w:t>Knihovnicko-informační služby</w:t>
      </w:r>
      <w:r w:rsidR="00A1544D">
        <w:rPr>
          <w:b/>
          <w:sz w:val="24"/>
          <w:szCs w:val="24"/>
        </w:rPr>
        <w:t xml:space="preserve"> </w:t>
      </w:r>
    </w:p>
    <w:p w:rsidR="00FE0235" w:rsidRDefault="005D7D48" w:rsidP="005D7D48">
      <w:pPr>
        <w:spacing w:after="200" w:line="276" w:lineRule="auto"/>
        <w:rPr>
          <w:sz w:val="24"/>
          <w:szCs w:val="24"/>
        </w:rPr>
      </w:pPr>
      <w:r w:rsidRPr="009B5658">
        <w:rPr>
          <w:sz w:val="24"/>
          <w:szCs w:val="24"/>
        </w:rPr>
        <w:t>V studovně na Envelopě je k dispozici 87 studijn</w:t>
      </w:r>
      <w:r w:rsidR="00DF6DF4">
        <w:rPr>
          <w:sz w:val="24"/>
          <w:szCs w:val="24"/>
        </w:rPr>
        <w:t xml:space="preserve">ích míst, ve studovně v Holici </w:t>
      </w:r>
      <w:r w:rsidRPr="009B5658">
        <w:rPr>
          <w:sz w:val="24"/>
          <w:szCs w:val="24"/>
        </w:rPr>
        <w:t>2</w:t>
      </w:r>
      <w:r w:rsidR="00DF6DF4">
        <w:rPr>
          <w:sz w:val="24"/>
          <w:szCs w:val="24"/>
        </w:rPr>
        <w:t>5</w:t>
      </w:r>
      <w:r w:rsidRPr="009B5658">
        <w:rPr>
          <w:sz w:val="24"/>
          <w:szCs w:val="24"/>
        </w:rPr>
        <w:t xml:space="preserve"> studijních míst. Studovna na Envelopě má otevřeno 43 hodin týdně, studovna v Holici 40 hodin týdně. </w:t>
      </w:r>
    </w:p>
    <w:p w:rsidR="005D7D48" w:rsidRDefault="005D7D48" w:rsidP="005D7D48">
      <w:pPr>
        <w:spacing w:after="200" w:line="276" w:lineRule="auto"/>
        <w:rPr>
          <w:sz w:val="24"/>
          <w:szCs w:val="24"/>
        </w:rPr>
      </w:pPr>
      <w:r w:rsidRPr="00777F41">
        <w:rPr>
          <w:sz w:val="24"/>
          <w:szCs w:val="24"/>
        </w:rPr>
        <w:t xml:space="preserve">Realizováno bylo celkem </w:t>
      </w:r>
      <w:r w:rsidR="00777F41">
        <w:rPr>
          <w:sz w:val="24"/>
          <w:szCs w:val="24"/>
        </w:rPr>
        <w:t>2</w:t>
      </w:r>
      <w:r w:rsidRPr="00777F41">
        <w:rPr>
          <w:sz w:val="24"/>
          <w:szCs w:val="24"/>
        </w:rPr>
        <w:t>1</w:t>
      </w:r>
      <w:r w:rsidR="00777F41">
        <w:rPr>
          <w:sz w:val="24"/>
          <w:szCs w:val="24"/>
        </w:rPr>
        <w:t>758</w:t>
      </w:r>
      <w:r w:rsidRPr="00777F41">
        <w:rPr>
          <w:sz w:val="24"/>
          <w:szCs w:val="24"/>
        </w:rPr>
        <w:t xml:space="preserve"> absenčních výpůjček oproti </w:t>
      </w:r>
      <w:r w:rsidR="00777F41">
        <w:rPr>
          <w:sz w:val="24"/>
          <w:szCs w:val="24"/>
        </w:rPr>
        <w:t>18437</w:t>
      </w:r>
      <w:r w:rsidRPr="00777F41">
        <w:rPr>
          <w:sz w:val="24"/>
          <w:szCs w:val="24"/>
        </w:rPr>
        <w:t xml:space="preserve"> v roce 201</w:t>
      </w:r>
      <w:r w:rsidR="00777F41">
        <w:rPr>
          <w:sz w:val="24"/>
          <w:szCs w:val="24"/>
        </w:rPr>
        <w:t>4</w:t>
      </w:r>
      <w:r w:rsidRPr="00777F41">
        <w:rPr>
          <w:sz w:val="24"/>
          <w:szCs w:val="24"/>
        </w:rPr>
        <w:t>, což znamená nárůst o 1</w:t>
      </w:r>
      <w:r w:rsidR="00777F41">
        <w:rPr>
          <w:sz w:val="24"/>
          <w:szCs w:val="24"/>
        </w:rPr>
        <w:t>8</w:t>
      </w:r>
      <w:r w:rsidRPr="00777F41">
        <w:rPr>
          <w:sz w:val="24"/>
          <w:szCs w:val="24"/>
        </w:rPr>
        <w:t xml:space="preserve"> %.</w:t>
      </w:r>
      <w:r w:rsidRPr="009B5658">
        <w:rPr>
          <w:sz w:val="24"/>
          <w:szCs w:val="24"/>
        </w:rPr>
        <w:t xml:space="preserve"> </w:t>
      </w:r>
      <w:r w:rsidR="00A76994">
        <w:rPr>
          <w:sz w:val="24"/>
          <w:szCs w:val="24"/>
        </w:rPr>
        <w:t>K</w:t>
      </w:r>
      <w:r>
        <w:rPr>
          <w:sz w:val="24"/>
          <w:szCs w:val="24"/>
        </w:rPr>
        <w:t>lesl</w:t>
      </w:r>
      <w:r w:rsidRPr="009B5658">
        <w:rPr>
          <w:sz w:val="24"/>
          <w:szCs w:val="24"/>
        </w:rPr>
        <w:t xml:space="preserve"> počet xerokopií, z</w:t>
      </w:r>
      <w:r>
        <w:rPr>
          <w:sz w:val="24"/>
          <w:szCs w:val="24"/>
        </w:rPr>
        <w:t> 8</w:t>
      </w:r>
      <w:r w:rsidR="00A76994">
        <w:rPr>
          <w:sz w:val="24"/>
          <w:szCs w:val="24"/>
        </w:rPr>
        <w:t>6626 v roce 2014</w:t>
      </w:r>
      <w:r w:rsidRPr="009B5658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8</w:t>
      </w:r>
      <w:r w:rsidR="00A76994">
        <w:rPr>
          <w:sz w:val="24"/>
          <w:szCs w:val="24"/>
        </w:rPr>
        <w:t>0663</w:t>
      </w:r>
      <w:r>
        <w:rPr>
          <w:sz w:val="24"/>
          <w:szCs w:val="24"/>
        </w:rPr>
        <w:t xml:space="preserve">, tj. snížení o </w:t>
      </w:r>
      <w:r w:rsidR="00A76994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A76994">
        <w:rPr>
          <w:sz w:val="24"/>
          <w:szCs w:val="24"/>
        </w:rPr>
        <w:t>88</w:t>
      </w:r>
      <w:r>
        <w:rPr>
          <w:sz w:val="24"/>
          <w:szCs w:val="24"/>
        </w:rPr>
        <w:t xml:space="preserve"> %. </w:t>
      </w:r>
      <w:r w:rsidRPr="009B5658">
        <w:rPr>
          <w:sz w:val="24"/>
          <w:szCs w:val="24"/>
        </w:rPr>
        <w:t>Velký podíl představuje možnost vytištění dokumentů z počítače.</w:t>
      </w:r>
      <w:r w:rsidR="000B438C">
        <w:rPr>
          <w:sz w:val="24"/>
          <w:szCs w:val="24"/>
        </w:rPr>
        <w:t xml:space="preserve"> Studenti</w:t>
      </w:r>
      <w:r w:rsidR="00A76994">
        <w:rPr>
          <w:sz w:val="24"/>
          <w:szCs w:val="24"/>
        </w:rPr>
        <w:t xml:space="preserve"> v obou knihovnách</w:t>
      </w:r>
      <w:r w:rsidR="000B438C">
        <w:rPr>
          <w:sz w:val="24"/>
          <w:szCs w:val="24"/>
        </w:rPr>
        <w:t xml:space="preserve"> velkou měrou využívají scannery.</w:t>
      </w:r>
    </w:p>
    <w:p w:rsidR="00777F41" w:rsidRPr="009B5658" w:rsidRDefault="00777F41" w:rsidP="005D7D4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Zatím</w:t>
      </w:r>
      <w:r w:rsidR="00326CF1">
        <w:rPr>
          <w:sz w:val="24"/>
          <w:szCs w:val="24"/>
        </w:rPr>
        <w:t>co v předchozích letech studující</w:t>
      </w:r>
      <w:r>
        <w:rPr>
          <w:sz w:val="24"/>
          <w:szCs w:val="24"/>
        </w:rPr>
        <w:t xml:space="preserve"> knihovnu využívali výrazně pouze k vypůjčení či vrácení knih či časopisů, v současnosti dramaticky roste počet těch, kteří využívají i studijní místa a zůstávají v knihovně delší dobu, nezřídka v řádu hodin. Mnozí studenti také chodí do knihovny pracovat denně či několikrát v týdnu a využívají celý rozsah otevírací doby. </w:t>
      </w:r>
    </w:p>
    <w:p w:rsidR="00F97E78" w:rsidRDefault="00F97E78" w:rsidP="005D7D48">
      <w:pPr>
        <w:spacing w:before="360" w:after="200" w:line="276" w:lineRule="auto"/>
        <w:rPr>
          <w:b/>
          <w:sz w:val="24"/>
          <w:szCs w:val="24"/>
        </w:rPr>
      </w:pPr>
    </w:p>
    <w:p w:rsidR="005D7D48" w:rsidRPr="009B5658" w:rsidRDefault="005D7D48" w:rsidP="005D7D48">
      <w:pPr>
        <w:spacing w:before="360" w:after="200" w:line="276" w:lineRule="auto"/>
        <w:rPr>
          <w:b/>
          <w:sz w:val="24"/>
          <w:szCs w:val="24"/>
        </w:rPr>
      </w:pPr>
      <w:r w:rsidRPr="009B5658">
        <w:rPr>
          <w:b/>
          <w:sz w:val="24"/>
          <w:szCs w:val="24"/>
        </w:rPr>
        <w:t>Doplňování knihovního fondu</w:t>
      </w:r>
    </w:p>
    <w:p w:rsidR="005D7D48" w:rsidRDefault="005D7D48" w:rsidP="00856C51">
      <w:pPr>
        <w:spacing w:after="200" w:line="276" w:lineRule="auto"/>
        <w:rPr>
          <w:sz w:val="24"/>
          <w:szCs w:val="24"/>
        </w:rPr>
      </w:pPr>
      <w:r w:rsidRPr="009B5658">
        <w:rPr>
          <w:sz w:val="24"/>
          <w:szCs w:val="24"/>
        </w:rPr>
        <w:t>Přes Knihovnu PřF bylo v roce 201</w:t>
      </w:r>
      <w:r w:rsidR="00D5060B">
        <w:rPr>
          <w:sz w:val="24"/>
          <w:szCs w:val="24"/>
        </w:rPr>
        <w:t>5</w:t>
      </w:r>
      <w:r w:rsidRPr="009B5658">
        <w:rPr>
          <w:sz w:val="24"/>
          <w:szCs w:val="24"/>
        </w:rPr>
        <w:t xml:space="preserve"> získáno </w:t>
      </w:r>
      <w:r w:rsidR="00D5060B">
        <w:rPr>
          <w:sz w:val="24"/>
          <w:szCs w:val="24"/>
        </w:rPr>
        <w:t>1039 titulů</w:t>
      </w:r>
      <w:r w:rsidRPr="009B5658">
        <w:rPr>
          <w:sz w:val="24"/>
          <w:szCs w:val="24"/>
        </w:rPr>
        <w:t xml:space="preserve"> knih v hodnotě </w:t>
      </w:r>
      <w:r w:rsidR="00D5060B">
        <w:rPr>
          <w:sz w:val="24"/>
          <w:szCs w:val="24"/>
        </w:rPr>
        <w:t>1 6</w:t>
      </w:r>
      <w:r w:rsidR="000563C6">
        <w:rPr>
          <w:sz w:val="24"/>
          <w:szCs w:val="24"/>
        </w:rPr>
        <w:t>52</w:t>
      </w:r>
      <w:r w:rsidR="00D5060B">
        <w:rPr>
          <w:sz w:val="24"/>
          <w:szCs w:val="24"/>
        </w:rPr>
        <w:t> </w:t>
      </w:r>
      <w:r w:rsidR="000563C6">
        <w:rPr>
          <w:sz w:val="24"/>
          <w:szCs w:val="24"/>
        </w:rPr>
        <w:t>938</w:t>
      </w:r>
      <w:r w:rsidR="00D5060B">
        <w:rPr>
          <w:sz w:val="24"/>
          <w:szCs w:val="24"/>
        </w:rPr>
        <w:t>,- Kč. Z toho grantové nákupy</w:t>
      </w:r>
      <w:r w:rsidR="00326CF1">
        <w:rPr>
          <w:sz w:val="24"/>
          <w:szCs w:val="24"/>
        </w:rPr>
        <w:t xml:space="preserve"> </w:t>
      </w:r>
      <w:r w:rsidR="00D5060B">
        <w:rPr>
          <w:sz w:val="24"/>
          <w:szCs w:val="24"/>
        </w:rPr>
        <w:t>činily 1 515 167,- Kč</w:t>
      </w:r>
      <w:r w:rsidR="000563C6">
        <w:rPr>
          <w:sz w:val="24"/>
          <w:szCs w:val="24"/>
        </w:rPr>
        <w:t>,</w:t>
      </w:r>
      <w:r w:rsidR="00D5060B">
        <w:rPr>
          <w:sz w:val="24"/>
          <w:szCs w:val="24"/>
        </w:rPr>
        <w:t xml:space="preserve"> nákupy kateder 119 059 Kč</w:t>
      </w:r>
      <w:r w:rsidR="000563C6">
        <w:rPr>
          <w:sz w:val="24"/>
          <w:szCs w:val="24"/>
        </w:rPr>
        <w:t xml:space="preserve">, nákupy z prostředků </w:t>
      </w:r>
      <w:r w:rsidR="00BB49A5">
        <w:rPr>
          <w:sz w:val="24"/>
          <w:szCs w:val="24"/>
        </w:rPr>
        <w:t>Knihovn</w:t>
      </w:r>
      <w:r w:rsidR="00B7741C">
        <w:rPr>
          <w:sz w:val="24"/>
          <w:szCs w:val="24"/>
        </w:rPr>
        <w:t>y</w:t>
      </w:r>
      <w:r w:rsidR="00BB49A5">
        <w:rPr>
          <w:sz w:val="24"/>
          <w:szCs w:val="24"/>
        </w:rPr>
        <w:t xml:space="preserve"> PřF</w:t>
      </w:r>
      <w:r w:rsidR="000563C6">
        <w:rPr>
          <w:sz w:val="24"/>
          <w:szCs w:val="24"/>
        </w:rPr>
        <w:t xml:space="preserve"> 18 712,- Kč</w:t>
      </w:r>
      <w:r w:rsidR="00D5060B">
        <w:rPr>
          <w:sz w:val="24"/>
          <w:szCs w:val="24"/>
        </w:rPr>
        <w:t xml:space="preserve">. </w:t>
      </w:r>
    </w:p>
    <w:p w:rsidR="00D5060B" w:rsidRDefault="00D5060B" w:rsidP="005D7D4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Ve stejném období bylo zakoupeno i 75 titulů časopisů v hodnotě </w:t>
      </w:r>
      <w:r w:rsidR="00F812E4">
        <w:rPr>
          <w:sz w:val="24"/>
          <w:szCs w:val="24"/>
        </w:rPr>
        <w:t>626 313</w:t>
      </w:r>
      <w:r>
        <w:rPr>
          <w:sz w:val="24"/>
          <w:szCs w:val="24"/>
        </w:rPr>
        <w:t xml:space="preserve">,- Kč. Z toho grantové nákupy činily 19 316,- Kč, nákupy kateder 408 478,- Kč, nákup časopisu Science z prostředků </w:t>
      </w:r>
      <w:r w:rsidR="00BB49A5">
        <w:rPr>
          <w:sz w:val="24"/>
          <w:szCs w:val="24"/>
        </w:rPr>
        <w:t>Knihovny PřF</w:t>
      </w:r>
      <w:r>
        <w:rPr>
          <w:sz w:val="24"/>
          <w:szCs w:val="24"/>
        </w:rPr>
        <w:t xml:space="preserve"> 1</w:t>
      </w:r>
      <w:r w:rsidR="00D0197A">
        <w:rPr>
          <w:sz w:val="24"/>
          <w:szCs w:val="24"/>
        </w:rPr>
        <w:t>98 519</w:t>
      </w:r>
      <w:r>
        <w:rPr>
          <w:sz w:val="24"/>
          <w:szCs w:val="24"/>
        </w:rPr>
        <w:t>,- Kč.</w:t>
      </w:r>
    </w:p>
    <w:p w:rsidR="005D7D48" w:rsidRDefault="00D5060B" w:rsidP="005D7D4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 roce 2015 došlo k poklesu nákupu z grantových prostředků. </w:t>
      </w:r>
      <w:r w:rsidR="00D84C08">
        <w:rPr>
          <w:sz w:val="24"/>
          <w:szCs w:val="24"/>
        </w:rPr>
        <w:t>Řada starších grantů byla již vyčerpána a nové granty se objevují v menší míře. N</w:t>
      </w:r>
      <w:r w:rsidR="005D7D48">
        <w:rPr>
          <w:sz w:val="24"/>
          <w:szCs w:val="24"/>
        </w:rPr>
        <w:t>em</w:t>
      </w:r>
      <w:r w:rsidR="00D84C08">
        <w:rPr>
          <w:sz w:val="24"/>
          <w:szCs w:val="24"/>
        </w:rPr>
        <w:t>a</w:t>
      </w:r>
      <w:r w:rsidR="005D7D48">
        <w:rPr>
          <w:sz w:val="24"/>
          <w:szCs w:val="24"/>
        </w:rPr>
        <w:t>l</w:t>
      </w:r>
      <w:r w:rsidR="00D84C08">
        <w:rPr>
          <w:sz w:val="24"/>
          <w:szCs w:val="24"/>
        </w:rPr>
        <w:t>é prostředky</w:t>
      </w:r>
      <w:r w:rsidR="005D7D48">
        <w:rPr>
          <w:sz w:val="24"/>
          <w:szCs w:val="24"/>
        </w:rPr>
        <w:t xml:space="preserve"> byl</w:t>
      </w:r>
      <w:r w:rsidR="009679B1">
        <w:rPr>
          <w:sz w:val="24"/>
          <w:szCs w:val="24"/>
        </w:rPr>
        <w:t>y</w:t>
      </w:r>
      <w:r w:rsidR="005D7D48">
        <w:rPr>
          <w:sz w:val="24"/>
          <w:szCs w:val="24"/>
        </w:rPr>
        <w:t xml:space="preserve"> získán</w:t>
      </w:r>
      <w:r w:rsidR="00D84C08">
        <w:rPr>
          <w:sz w:val="24"/>
          <w:szCs w:val="24"/>
        </w:rPr>
        <w:t xml:space="preserve">y </w:t>
      </w:r>
      <w:r w:rsidR="005D7D48">
        <w:rPr>
          <w:sz w:val="24"/>
          <w:szCs w:val="24"/>
        </w:rPr>
        <w:t>z projektu „</w:t>
      </w:r>
      <w:r w:rsidR="005D7D48" w:rsidRPr="0068543A">
        <w:rPr>
          <w:sz w:val="24"/>
          <w:szCs w:val="24"/>
        </w:rPr>
        <w:t>Zvyšování kompetencí v rámci přípravy pedagogických pracovníků na UP</w:t>
      </w:r>
      <w:r w:rsidR="005D7D48">
        <w:rPr>
          <w:sz w:val="24"/>
          <w:szCs w:val="24"/>
        </w:rPr>
        <w:t xml:space="preserve">“, na kterém spolupracují Přírodovědecká a Pedagogická fakulta UP. </w:t>
      </w:r>
      <w:r w:rsidR="00D84C08">
        <w:rPr>
          <w:sz w:val="24"/>
          <w:szCs w:val="24"/>
        </w:rPr>
        <w:t>Velmi rozsáhlý nákup knih také učinila Katedra informatiky PřF</w:t>
      </w:r>
      <w:r w:rsidR="005D7D48">
        <w:rPr>
          <w:sz w:val="24"/>
          <w:szCs w:val="24"/>
        </w:rPr>
        <w:t>.</w:t>
      </w:r>
    </w:p>
    <w:p w:rsidR="00D84C08" w:rsidRDefault="005D7D48" w:rsidP="005D7D48">
      <w:pPr>
        <w:spacing w:after="200" w:line="276" w:lineRule="auto"/>
        <w:rPr>
          <w:sz w:val="24"/>
          <w:szCs w:val="24"/>
        </w:rPr>
      </w:pPr>
      <w:r w:rsidRPr="009B5658">
        <w:rPr>
          <w:sz w:val="24"/>
          <w:szCs w:val="24"/>
        </w:rPr>
        <w:t xml:space="preserve">Studenti mají možnost oslovit knihovnu s požadavkem na koupi titulu, čehož bylo několikrát využito. </w:t>
      </w:r>
      <w:r w:rsidR="00D84C08">
        <w:rPr>
          <w:sz w:val="24"/>
          <w:szCs w:val="24"/>
        </w:rPr>
        <w:t>Knihovna rovněž spolupracuje s katedrami na doplňování knihovního fondu. V závěru roku byl</w:t>
      </w:r>
      <w:r w:rsidR="00C5260B">
        <w:rPr>
          <w:sz w:val="24"/>
          <w:szCs w:val="24"/>
        </w:rPr>
        <w:t>y</w:t>
      </w:r>
      <w:r w:rsidR="00D84C08">
        <w:rPr>
          <w:sz w:val="24"/>
          <w:szCs w:val="24"/>
        </w:rPr>
        <w:t xml:space="preserve"> do knihovny v Holici pořízeny knihy z</w:t>
      </w:r>
      <w:r w:rsidR="000069EB">
        <w:rPr>
          <w:sz w:val="24"/>
          <w:szCs w:val="24"/>
        </w:rPr>
        <w:t> projektu FRUP</w:t>
      </w:r>
      <w:r w:rsidR="00D84C08">
        <w:rPr>
          <w:sz w:val="24"/>
          <w:szCs w:val="24"/>
        </w:rPr>
        <w:t xml:space="preserve"> v hodnotě 28 701,- Kč. </w:t>
      </w:r>
    </w:p>
    <w:p w:rsidR="005D7D48" w:rsidRPr="009B5658" w:rsidRDefault="005D7D48" w:rsidP="005D7D48">
      <w:pPr>
        <w:rPr>
          <w:sz w:val="24"/>
          <w:szCs w:val="24"/>
        </w:rPr>
      </w:pPr>
    </w:p>
    <w:tbl>
      <w:tblPr>
        <w:tblW w:w="73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0"/>
      </w:tblGrid>
      <w:tr w:rsidR="005D7D48" w:rsidRPr="002D0451" w:rsidTr="00BE237A">
        <w:trPr>
          <w:trHeight w:val="330"/>
        </w:trPr>
        <w:tc>
          <w:tcPr>
            <w:tcW w:w="7370" w:type="dxa"/>
            <w:shd w:val="clear" w:color="auto" w:fill="auto"/>
            <w:noWrap/>
            <w:vAlign w:val="center"/>
            <w:hideMark/>
          </w:tcPr>
          <w:p w:rsidR="004B4365" w:rsidRDefault="004B4365" w:rsidP="009608A5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326CF1" w:rsidRDefault="00326CF1" w:rsidP="009608A5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5D7D48" w:rsidRPr="00326CF1" w:rsidRDefault="005D7D48" w:rsidP="00326CF1">
            <w:pPr>
              <w:jc w:val="lef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6CF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Akvizice knih v roce 201</w:t>
            </w:r>
            <w:r w:rsidR="00882E10" w:rsidRPr="00326CF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  <w:p w:rsidR="001056D5" w:rsidRDefault="001056D5" w:rsidP="00CA7499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1056D5" w:rsidRDefault="001056D5" w:rsidP="00CA7499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702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04"/>
              <w:gridCol w:w="3119"/>
            </w:tblGrid>
            <w:tr w:rsidR="001056D5" w:rsidRPr="001056D5" w:rsidTr="00F41E5D">
              <w:trPr>
                <w:trHeight w:val="315"/>
              </w:trPr>
              <w:tc>
                <w:tcPr>
                  <w:tcW w:w="3904" w:type="dxa"/>
                  <w:tcBorders>
                    <w:top w:val="single" w:sz="12" w:space="0" w:color="auto"/>
                    <w:bottom w:val="doub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6D5" w:rsidRPr="001056D5" w:rsidRDefault="001056D5" w:rsidP="00CA7499">
                  <w:pPr>
                    <w:jc w:val="left"/>
                    <w:rPr>
                      <w:rFonts w:eastAsia="Times New Roman" w:cs="Arial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  <w:r w:rsidRPr="001056D5">
                    <w:rPr>
                      <w:rFonts w:eastAsia="Times New Roman" w:cs="Arial"/>
                      <w:b/>
                      <w:color w:val="000000"/>
                      <w:sz w:val="24"/>
                      <w:szCs w:val="24"/>
                      <w:lang w:eastAsia="cs-CZ"/>
                    </w:rPr>
                    <w:t>Druh akvizice</w:t>
                  </w:r>
                  <w:r w:rsidR="00E74957">
                    <w:rPr>
                      <w:rFonts w:eastAsia="Times New Roman" w:cs="Arial"/>
                      <w:b/>
                      <w:color w:val="000000"/>
                      <w:sz w:val="24"/>
                      <w:szCs w:val="24"/>
                      <w:lang w:eastAsia="cs-CZ"/>
                    </w:rPr>
                    <w:t xml:space="preserve"> - knihy</w:t>
                  </w:r>
                </w:p>
              </w:tc>
              <w:tc>
                <w:tcPr>
                  <w:tcW w:w="3119" w:type="dxa"/>
                  <w:tcBorders>
                    <w:top w:val="single" w:sz="12" w:space="0" w:color="auto"/>
                    <w:bottom w:val="doub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6D5" w:rsidRPr="001056D5" w:rsidRDefault="001056D5" w:rsidP="00CA7499">
                  <w:pPr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056D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  <w:t>Kč</w:t>
                  </w:r>
                </w:p>
              </w:tc>
            </w:tr>
            <w:tr w:rsidR="001056D5" w:rsidRPr="001056D5" w:rsidTr="00F41E5D">
              <w:trPr>
                <w:trHeight w:val="315"/>
              </w:trPr>
              <w:tc>
                <w:tcPr>
                  <w:tcW w:w="3904" w:type="dxa"/>
                  <w:tcBorders>
                    <w:top w:val="doub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6D5" w:rsidRPr="001056D5" w:rsidRDefault="001056D5" w:rsidP="009C0B27">
                  <w:pPr>
                    <w:jc w:val="left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056D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  <w:t xml:space="preserve">Grantový nákup </w:t>
                  </w:r>
                </w:p>
              </w:tc>
              <w:tc>
                <w:tcPr>
                  <w:tcW w:w="3119" w:type="dxa"/>
                  <w:tcBorders>
                    <w:top w:val="doub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6D5" w:rsidRPr="001056D5" w:rsidRDefault="001056D5" w:rsidP="00CA7499">
                  <w:pPr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056D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  <w:t>1 515 167 Kč</w:t>
                  </w:r>
                </w:p>
              </w:tc>
            </w:tr>
            <w:tr w:rsidR="001056D5" w:rsidRPr="001056D5" w:rsidTr="00F41E5D">
              <w:trPr>
                <w:trHeight w:val="315"/>
              </w:trPr>
              <w:tc>
                <w:tcPr>
                  <w:tcW w:w="3904" w:type="dxa"/>
                  <w:shd w:val="clear" w:color="auto" w:fill="auto"/>
                  <w:noWrap/>
                  <w:vAlign w:val="center"/>
                  <w:hideMark/>
                </w:tcPr>
                <w:p w:rsidR="001056D5" w:rsidRPr="001056D5" w:rsidRDefault="001056D5" w:rsidP="00CA7499">
                  <w:pPr>
                    <w:jc w:val="left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056D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  <w:t>Nákup z prostředků kateder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  <w:hideMark/>
                </w:tcPr>
                <w:p w:rsidR="001056D5" w:rsidRPr="001056D5" w:rsidRDefault="001056D5" w:rsidP="00CA7499">
                  <w:pPr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056D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  <w:t>119 059 Kč</w:t>
                  </w:r>
                </w:p>
              </w:tc>
            </w:tr>
            <w:tr w:rsidR="001056D5" w:rsidRPr="001056D5" w:rsidTr="00F41E5D">
              <w:trPr>
                <w:trHeight w:val="315"/>
              </w:trPr>
              <w:tc>
                <w:tcPr>
                  <w:tcW w:w="3904" w:type="dxa"/>
                  <w:tcBorders>
                    <w:bottom w:val="doub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6D5" w:rsidRPr="001056D5" w:rsidRDefault="00FC0855" w:rsidP="00CA7499">
                  <w:pPr>
                    <w:jc w:val="left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  <w:t xml:space="preserve">Knihovna PřF </w:t>
                  </w:r>
                </w:p>
              </w:tc>
              <w:tc>
                <w:tcPr>
                  <w:tcW w:w="3119" w:type="dxa"/>
                  <w:tcBorders>
                    <w:bottom w:val="doub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6D5" w:rsidRPr="001056D5" w:rsidRDefault="001056D5" w:rsidP="00CA7499">
                  <w:pPr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056D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  <w:t>18 712 Kč</w:t>
                  </w:r>
                </w:p>
              </w:tc>
            </w:tr>
            <w:tr w:rsidR="001056D5" w:rsidRPr="001056D5" w:rsidTr="00F41E5D">
              <w:trPr>
                <w:trHeight w:val="330"/>
              </w:trPr>
              <w:tc>
                <w:tcPr>
                  <w:tcW w:w="3904" w:type="dxa"/>
                  <w:tcBorders>
                    <w:top w:val="double" w:sz="4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6D5" w:rsidRPr="001056D5" w:rsidRDefault="001056D5" w:rsidP="00CA7499">
                  <w:pPr>
                    <w:jc w:val="left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056D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  <w:t>Celkem</w:t>
                  </w:r>
                </w:p>
              </w:tc>
              <w:tc>
                <w:tcPr>
                  <w:tcW w:w="3119" w:type="dxa"/>
                  <w:tcBorders>
                    <w:top w:val="double" w:sz="4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6D5" w:rsidRPr="001056D5" w:rsidRDefault="001056D5" w:rsidP="00CA7499">
                  <w:pPr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056D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  <w:t>1 652 938 Kč</w:t>
                  </w:r>
                </w:p>
              </w:tc>
            </w:tr>
          </w:tbl>
          <w:p w:rsidR="001056D5" w:rsidRDefault="001056D5" w:rsidP="009608A5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4B4365" w:rsidRDefault="004B4365" w:rsidP="009608A5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56464" w:rsidRDefault="00256464" w:rsidP="009608A5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4B4365" w:rsidRDefault="004B4365" w:rsidP="009608A5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4B4365" w:rsidRDefault="004B4365" w:rsidP="009608A5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1056D5" w:rsidRDefault="001056D5" w:rsidP="009608A5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1056D5" w:rsidRDefault="00202BC0" w:rsidP="009608A5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05F467B8" wp14:editId="0C3BB6A5">
                  <wp:extent cx="4572000" cy="2743200"/>
                  <wp:effectExtent l="0" t="0" r="19050" b="19050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1056D5" w:rsidRDefault="001056D5" w:rsidP="009608A5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1056D5" w:rsidRDefault="001056D5" w:rsidP="009608A5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1056D5" w:rsidRDefault="001056D5" w:rsidP="009608A5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4B4365" w:rsidRPr="008F72B3" w:rsidRDefault="004B4365" w:rsidP="009608A5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1056D5" w:rsidRPr="00326CF1" w:rsidRDefault="001056D5" w:rsidP="00326CF1">
            <w:pPr>
              <w:jc w:val="lef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6CF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Akvizice časopis</w:t>
            </w:r>
            <w:r w:rsidR="00256464" w:rsidRPr="00326CF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ů</w:t>
            </w:r>
            <w:r w:rsidRPr="00326CF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v roce 2015</w:t>
            </w:r>
          </w:p>
          <w:p w:rsidR="001056D5" w:rsidRDefault="001056D5" w:rsidP="009608A5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1056D5" w:rsidRDefault="001056D5" w:rsidP="009608A5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60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40"/>
              <w:gridCol w:w="2591"/>
            </w:tblGrid>
            <w:tr w:rsidR="004B4365" w:rsidRPr="004B4365" w:rsidTr="00206C0F">
              <w:trPr>
                <w:trHeight w:val="315"/>
              </w:trPr>
              <w:tc>
                <w:tcPr>
                  <w:tcW w:w="3440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4365" w:rsidRPr="004B4365" w:rsidRDefault="004B4365" w:rsidP="004F4CE8">
                  <w:pPr>
                    <w:jc w:val="left"/>
                    <w:rPr>
                      <w:rFonts w:eastAsia="Times New Roman" w:cs="Arial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  <w:r w:rsidRPr="004B4365">
                    <w:rPr>
                      <w:rFonts w:eastAsia="Times New Roman" w:cs="Arial"/>
                      <w:b/>
                      <w:color w:val="000000"/>
                      <w:sz w:val="24"/>
                      <w:szCs w:val="24"/>
                      <w:lang w:eastAsia="cs-CZ"/>
                    </w:rPr>
                    <w:t>Druh akvizice</w:t>
                  </w:r>
                  <w:r w:rsidR="00E74957">
                    <w:rPr>
                      <w:rFonts w:eastAsia="Times New Roman" w:cs="Arial"/>
                      <w:b/>
                      <w:color w:val="000000"/>
                      <w:sz w:val="24"/>
                      <w:szCs w:val="24"/>
                      <w:lang w:eastAsia="cs-CZ"/>
                    </w:rPr>
                    <w:t xml:space="preserve"> - časopisy</w:t>
                  </w:r>
                </w:p>
              </w:tc>
              <w:tc>
                <w:tcPr>
                  <w:tcW w:w="2591" w:type="dxa"/>
                  <w:tcBorders>
                    <w:top w:val="single" w:sz="12" w:space="0" w:color="auto"/>
                    <w:left w:val="single" w:sz="6" w:space="0" w:color="auto"/>
                    <w:bottom w:val="doub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4365" w:rsidRPr="004B4365" w:rsidRDefault="004B4365" w:rsidP="00CA7499">
                  <w:pPr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B436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  <w:t>Kč</w:t>
                  </w:r>
                </w:p>
              </w:tc>
            </w:tr>
            <w:tr w:rsidR="004B4365" w:rsidRPr="004B4365" w:rsidTr="00206C0F">
              <w:trPr>
                <w:trHeight w:val="315"/>
              </w:trPr>
              <w:tc>
                <w:tcPr>
                  <w:tcW w:w="3440" w:type="dxa"/>
                  <w:tcBorders>
                    <w:top w:val="double" w:sz="4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4365" w:rsidRPr="004B4365" w:rsidRDefault="009C0B27" w:rsidP="004B4365">
                  <w:pPr>
                    <w:jc w:val="left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  <w:t>Grantový nákup</w:t>
                  </w:r>
                </w:p>
              </w:tc>
              <w:tc>
                <w:tcPr>
                  <w:tcW w:w="2591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4365" w:rsidRPr="004B4365" w:rsidRDefault="004B4365" w:rsidP="004B4365">
                  <w:pPr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B436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  <w:t>19 316 Kč</w:t>
                  </w:r>
                </w:p>
              </w:tc>
            </w:tr>
            <w:tr w:rsidR="004B4365" w:rsidRPr="004B4365" w:rsidTr="00206C0F">
              <w:trPr>
                <w:trHeight w:val="315"/>
              </w:trPr>
              <w:tc>
                <w:tcPr>
                  <w:tcW w:w="344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4365" w:rsidRPr="004B4365" w:rsidRDefault="004B4365" w:rsidP="004B4365">
                  <w:pPr>
                    <w:jc w:val="left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B436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  <w:t>Nákup z prostředků kateder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4365" w:rsidRPr="004B4365" w:rsidRDefault="004B4365" w:rsidP="004B4365">
                  <w:pPr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B436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  <w:t>408 478 Kč</w:t>
                  </w:r>
                </w:p>
              </w:tc>
            </w:tr>
            <w:tr w:rsidR="004B4365" w:rsidRPr="004B4365" w:rsidTr="00206C0F">
              <w:trPr>
                <w:trHeight w:val="315"/>
              </w:trPr>
              <w:tc>
                <w:tcPr>
                  <w:tcW w:w="3440" w:type="dxa"/>
                  <w:tcBorders>
                    <w:top w:val="nil"/>
                    <w:left w:val="single" w:sz="12" w:space="0" w:color="auto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4365" w:rsidRPr="004B4365" w:rsidRDefault="003B18FE" w:rsidP="004B4365">
                  <w:pPr>
                    <w:jc w:val="left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  <w:t>Knihovna PřF - č</w:t>
                  </w:r>
                  <w:r w:rsidR="004B4365" w:rsidRPr="004B436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  <w:t>as. Science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double" w:sz="6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4365" w:rsidRPr="004B4365" w:rsidRDefault="004B4365" w:rsidP="00D0197A">
                  <w:pPr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B436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  <w:r w:rsidR="00D0197A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  <w:t>98</w:t>
                  </w:r>
                  <w:r w:rsidRPr="004B436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  <w:t xml:space="preserve"> 5</w:t>
                  </w:r>
                  <w:r w:rsidR="00D0197A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  <w:t>19</w:t>
                  </w:r>
                  <w:r w:rsidRPr="004B436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</w:tr>
            <w:tr w:rsidR="004B4365" w:rsidRPr="004B4365" w:rsidTr="00206C0F">
              <w:trPr>
                <w:trHeight w:val="330"/>
              </w:trPr>
              <w:tc>
                <w:tcPr>
                  <w:tcW w:w="3440" w:type="dxa"/>
                  <w:tcBorders>
                    <w:top w:val="nil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4365" w:rsidRPr="004B4365" w:rsidRDefault="004B4365" w:rsidP="004B4365">
                  <w:pPr>
                    <w:jc w:val="left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B436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  <w:t>Celkem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doub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4365" w:rsidRPr="004B4365" w:rsidRDefault="003B18FE" w:rsidP="003B18FE">
                  <w:pPr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  <w:t>626</w:t>
                  </w:r>
                  <w:r w:rsidR="004B4365" w:rsidRPr="004B436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  <w:t xml:space="preserve"> 3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  <w:t>13</w:t>
                  </w:r>
                  <w:r w:rsidR="004B4365" w:rsidRPr="004B436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</w:tr>
          </w:tbl>
          <w:p w:rsidR="001056D5" w:rsidRDefault="001056D5" w:rsidP="009608A5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1056D5" w:rsidRDefault="001056D5" w:rsidP="009608A5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1056D5" w:rsidRDefault="001056D5" w:rsidP="009608A5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1056D5" w:rsidRDefault="001056D5" w:rsidP="009608A5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1056D5" w:rsidRDefault="001056D5" w:rsidP="009608A5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5D7D48" w:rsidRPr="00326CF1" w:rsidRDefault="00BE237A" w:rsidP="00326CF1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9DA7F47" wp14:editId="7E51AE7E">
                  <wp:extent cx="4572000" cy="2743200"/>
                  <wp:effectExtent l="0" t="0" r="19050" b="19050"/>
                  <wp:docPr id="4" name="Graf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5D7D48" w:rsidRPr="009B5658" w:rsidRDefault="005D7D48" w:rsidP="005D7D48">
      <w:pPr>
        <w:spacing w:before="360" w:after="200" w:line="276" w:lineRule="auto"/>
        <w:rPr>
          <w:b/>
          <w:sz w:val="24"/>
          <w:szCs w:val="24"/>
        </w:rPr>
      </w:pPr>
      <w:r w:rsidRPr="009B5658">
        <w:rPr>
          <w:b/>
          <w:sz w:val="24"/>
          <w:szCs w:val="24"/>
        </w:rPr>
        <w:lastRenderedPageBreak/>
        <w:t>Vzdělávací aktivity</w:t>
      </w:r>
    </w:p>
    <w:p w:rsidR="005D7D48" w:rsidRDefault="005D7D48" w:rsidP="005D7D48">
      <w:pPr>
        <w:spacing w:after="200" w:line="276" w:lineRule="auto"/>
        <w:rPr>
          <w:sz w:val="24"/>
          <w:szCs w:val="24"/>
        </w:rPr>
      </w:pPr>
      <w:r w:rsidRPr="009B5658">
        <w:rPr>
          <w:sz w:val="24"/>
          <w:szCs w:val="24"/>
        </w:rPr>
        <w:t>V roce 201</w:t>
      </w:r>
      <w:r w:rsidR="00C44421">
        <w:rPr>
          <w:sz w:val="24"/>
          <w:szCs w:val="24"/>
        </w:rPr>
        <w:t>5</w:t>
      </w:r>
      <w:r w:rsidRPr="009B5658">
        <w:rPr>
          <w:sz w:val="24"/>
          <w:szCs w:val="24"/>
        </w:rPr>
        <w:t xml:space="preserve"> došlo k</w:t>
      </w:r>
      <w:r>
        <w:rPr>
          <w:sz w:val="24"/>
          <w:szCs w:val="24"/>
        </w:rPr>
        <w:t> </w:t>
      </w:r>
      <w:r w:rsidRPr="009B5658">
        <w:rPr>
          <w:sz w:val="24"/>
          <w:szCs w:val="24"/>
        </w:rPr>
        <w:t xml:space="preserve">nárůstu vzdělávacích aktivit pořádaných Knihovnou PřF. Vedoucí Knihovny PřF každoročně zajišťuje výuku v oblasti elektronických informačních zdrojů dle požadavků vyučujících na Katedře organické chemie a Katedře geoinformatiky. </w:t>
      </w:r>
      <w:r w:rsidR="00C44421">
        <w:rPr>
          <w:sz w:val="24"/>
          <w:szCs w:val="24"/>
        </w:rPr>
        <w:t>Nově byli zaškoleni i studenti molekulární biologie a analytické  chemie. B</w:t>
      </w:r>
      <w:r>
        <w:rPr>
          <w:sz w:val="24"/>
          <w:szCs w:val="24"/>
        </w:rPr>
        <w:t xml:space="preserve">yly </w:t>
      </w:r>
      <w:r w:rsidRPr="009B5658">
        <w:rPr>
          <w:sz w:val="24"/>
          <w:szCs w:val="24"/>
        </w:rPr>
        <w:t>uskutečněn</w:t>
      </w:r>
      <w:r>
        <w:rPr>
          <w:sz w:val="24"/>
          <w:szCs w:val="24"/>
        </w:rPr>
        <w:t>y</w:t>
      </w:r>
      <w:r w:rsidRPr="009B5658">
        <w:rPr>
          <w:sz w:val="24"/>
          <w:szCs w:val="24"/>
        </w:rPr>
        <w:t xml:space="preserve"> informační seminář</w:t>
      </w:r>
      <w:r>
        <w:rPr>
          <w:sz w:val="24"/>
          <w:szCs w:val="24"/>
        </w:rPr>
        <w:t>e</w:t>
      </w:r>
      <w:r w:rsidRPr="009B5658">
        <w:rPr>
          <w:sz w:val="24"/>
          <w:szCs w:val="24"/>
        </w:rPr>
        <w:t xml:space="preserve"> pro studenty prvních ročníků na </w:t>
      </w:r>
      <w:r>
        <w:rPr>
          <w:sz w:val="24"/>
          <w:szCs w:val="24"/>
        </w:rPr>
        <w:t>k</w:t>
      </w:r>
      <w:r w:rsidRPr="009B5658">
        <w:rPr>
          <w:sz w:val="24"/>
          <w:szCs w:val="24"/>
        </w:rPr>
        <w:t>ated</w:t>
      </w:r>
      <w:r>
        <w:rPr>
          <w:sz w:val="24"/>
          <w:szCs w:val="24"/>
        </w:rPr>
        <w:t>rách</w:t>
      </w:r>
      <w:r w:rsidRPr="009B5658">
        <w:rPr>
          <w:sz w:val="24"/>
          <w:szCs w:val="24"/>
        </w:rPr>
        <w:t xml:space="preserve"> geologie</w:t>
      </w:r>
      <w:r>
        <w:rPr>
          <w:sz w:val="24"/>
          <w:szCs w:val="24"/>
        </w:rPr>
        <w:t xml:space="preserve">, </w:t>
      </w:r>
      <w:r w:rsidR="00C44421">
        <w:rPr>
          <w:sz w:val="24"/>
          <w:szCs w:val="24"/>
        </w:rPr>
        <w:t>geoinformatiky, rozvojových studií,</w:t>
      </w:r>
      <w:r>
        <w:rPr>
          <w:sz w:val="24"/>
          <w:szCs w:val="24"/>
        </w:rPr>
        <w:t xml:space="preserve"> experimentální fyziky,</w:t>
      </w:r>
      <w:r w:rsidR="00C44421">
        <w:rPr>
          <w:sz w:val="24"/>
          <w:szCs w:val="24"/>
        </w:rPr>
        <w:t xml:space="preserve"> molekulární biologie. Samozřejmostí jsou rovněž individuální porady jak pro studenty prvních ročníků, tak konzultace k problematice vyhledávání zdrojů při psaní bakalářských a diplomových prací. </w:t>
      </w:r>
      <w:r>
        <w:rPr>
          <w:sz w:val="24"/>
          <w:szCs w:val="24"/>
        </w:rPr>
        <w:t>Celkem tak proběhlo 11 akcí v souhrnné délce 15,5 h, jichž se zúčastnilo 2</w:t>
      </w:r>
      <w:r w:rsidR="00AB780A">
        <w:rPr>
          <w:sz w:val="24"/>
          <w:szCs w:val="24"/>
        </w:rPr>
        <w:t>07</w:t>
      </w:r>
      <w:r>
        <w:rPr>
          <w:sz w:val="24"/>
          <w:szCs w:val="24"/>
        </w:rPr>
        <w:t xml:space="preserve"> studentů.</w:t>
      </w:r>
    </w:p>
    <w:p w:rsidR="00AB780A" w:rsidRDefault="00AB780A" w:rsidP="005D7D4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Za zásadní považuji seznámit s chodem knihovny a jejími možnostmi všechny studenty prvních ročníků, neboť dobré povědomí o knihovně a jejích službách studentům ulehčuje studium a umožňuje efekti</w:t>
      </w:r>
      <w:r w:rsidR="002A203E">
        <w:rPr>
          <w:sz w:val="24"/>
          <w:szCs w:val="24"/>
        </w:rPr>
        <w:t xml:space="preserve">vní práci s informačními zdroji. Šetří rovněž čas pracovníkům knihovny, kteří pracují přímo u informačního pultu. Proškoleným studentům při jejich návštěvě v knihovně není nutné vysvětlovat základní zásady fungování knihovny a nedochází tak ke zbytečnému zdržování zaměstnanců knihovny i návštěvníků. </w:t>
      </w:r>
    </w:p>
    <w:p w:rsidR="005D7D48" w:rsidRDefault="002A203E" w:rsidP="005D7D4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Za nutné rovněž považuji rozšíření v</w:t>
      </w:r>
      <w:r w:rsidR="00AB780A">
        <w:rPr>
          <w:sz w:val="24"/>
          <w:szCs w:val="24"/>
        </w:rPr>
        <w:t>ýuk</w:t>
      </w:r>
      <w:r>
        <w:rPr>
          <w:sz w:val="24"/>
          <w:szCs w:val="24"/>
        </w:rPr>
        <w:t>y</w:t>
      </w:r>
      <w:r w:rsidR="00AB780A">
        <w:rPr>
          <w:sz w:val="24"/>
          <w:szCs w:val="24"/>
        </w:rPr>
        <w:t xml:space="preserve"> práce s elektronickými informačními zdroji</w:t>
      </w:r>
      <w:r w:rsidR="005D7D48">
        <w:rPr>
          <w:sz w:val="24"/>
          <w:szCs w:val="24"/>
        </w:rPr>
        <w:t xml:space="preserve"> </w:t>
      </w:r>
      <w:r>
        <w:rPr>
          <w:sz w:val="24"/>
          <w:szCs w:val="24"/>
        </w:rPr>
        <w:t>pro studenty vyšších ročníků. Získané informace by studenti mohli využít při psaní bakalářských a magisterských prací.</w:t>
      </w:r>
    </w:p>
    <w:p w:rsidR="00CE79E6" w:rsidRDefault="00CE79E6" w:rsidP="003B0EBD">
      <w:pPr>
        <w:spacing w:before="360" w:after="200" w:line="276" w:lineRule="auto"/>
        <w:jc w:val="left"/>
        <w:rPr>
          <w:b/>
          <w:sz w:val="24"/>
          <w:szCs w:val="24"/>
        </w:rPr>
      </w:pPr>
    </w:p>
    <w:p w:rsidR="00CE79E6" w:rsidRDefault="00CE79E6" w:rsidP="003B0EBD">
      <w:pPr>
        <w:spacing w:before="360" w:after="20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D7D48" w:rsidRPr="003B0EBD">
        <w:rPr>
          <w:b/>
          <w:sz w:val="24"/>
          <w:szCs w:val="24"/>
        </w:rPr>
        <w:t>Základní statistické údaje za rok 201</w:t>
      </w:r>
      <w:r w:rsidR="00882E10" w:rsidRPr="003B0EBD">
        <w:rPr>
          <w:b/>
          <w:sz w:val="24"/>
          <w:szCs w:val="24"/>
        </w:rPr>
        <w:t>5</w:t>
      </w:r>
    </w:p>
    <w:tbl>
      <w:tblPr>
        <w:tblStyle w:val="Mkatabulky"/>
        <w:tblW w:w="8904" w:type="dxa"/>
        <w:jc w:val="center"/>
        <w:tblInd w:w="-56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70"/>
        <w:gridCol w:w="3634"/>
      </w:tblGrid>
      <w:tr w:rsidR="005D7D48" w:rsidTr="00976BF9">
        <w:trPr>
          <w:jc w:val="center"/>
        </w:trPr>
        <w:tc>
          <w:tcPr>
            <w:tcW w:w="52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D7D48" w:rsidRPr="002551BE" w:rsidRDefault="005D7D48" w:rsidP="00CE79E6">
            <w:pPr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2551BE"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36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D7D48" w:rsidRPr="002551BE" w:rsidRDefault="005D7D48" w:rsidP="00CE79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5D7D48" w:rsidTr="00976BF9">
        <w:trPr>
          <w:jc w:val="center"/>
        </w:trPr>
        <w:tc>
          <w:tcPr>
            <w:tcW w:w="5270" w:type="dxa"/>
            <w:tcBorders>
              <w:top w:val="double" w:sz="4" w:space="0" w:color="auto"/>
            </w:tcBorders>
            <w:vAlign w:val="center"/>
          </w:tcPr>
          <w:p w:rsidR="005D7D48" w:rsidRPr="002551BE" w:rsidRDefault="005D7D48" w:rsidP="009608A5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2551BE">
              <w:rPr>
                <w:sz w:val="24"/>
                <w:szCs w:val="24"/>
              </w:rPr>
              <w:t>Počet zaměstnanců</w:t>
            </w:r>
          </w:p>
        </w:tc>
        <w:tc>
          <w:tcPr>
            <w:tcW w:w="3634" w:type="dxa"/>
            <w:tcBorders>
              <w:top w:val="double" w:sz="4" w:space="0" w:color="auto"/>
            </w:tcBorders>
            <w:vAlign w:val="center"/>
          </w:tcPr>
          <w:p w:rsidR="005D7D48" w:rsidRDefault="005D7D48" w:rsidP="00CE79E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D7D48" w:rsidTr="00CE79E6">
        <w:trPr>
          <w:jc w:val="center"/>
        </w:trPr>
        <w:tc>
          <w:tcPr>
            <w:tcW w:w="5270" w:type="dxa"/>
            <w:vAlign w:val="center"/>
          </w:tcPr>
          <w:p w:rsidR="005D7D48" w:rsidRPr="009B18E0" w:rsidRDefault="005D7D48" w:rsidP="009608A5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9B18E0">
              <w:rPr>
                <w:sz w:val="24"/>
                <w:szCs w:val="24"/>
              </w:rPr>
              <w:t>Počet studijních míst</w:t>
            </w:r>
          </w:p>
        </w:tc>
        <w:tc>
          <w:tcPr>
            <w:tcW w:w="3634" w:type="dxa"/>
            <w:vAlign w:val="center"/>
          </w:tcPr>
          <w:p w:rsidR="005D7D48" w:rsidRDefault="005D7D48" w:rsidP="00CE79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B18E0">
              <w:rPr>
                <w:sz w:val="24"/>
                <w:szCs w:val="24"/>
              </w:rPr>
              <w:t>11</w:t>
            </w:r>
            <w:r w:rsidR="00237414" w:rsidRPr="009B18E0">
              <w:rPr>
                <w:sz w:val="24"/>
                <w:szCs w:val="24"/>
              </w:rPr>
              <w:t>2</w:t>
            </w:r>
          </w:p>
        </w:tc>
      </w:tr>
      <w:tr w:rsidR="005D7D48" w:rsidTr="00CE79E6">
        <w:trPr>
          <w:jc w:val="center"/>
        </w:trPr>
        <w:tc>
          <w:tcPr>
            <w:tcW w:w="5270" w:type="dxa"/>
            <w:vAlign w:val="center"/>
          </w:tcPr>
          <w:p w:rsidR="005D7D48" w:rsidRDefault="005D7D48" w:rsidP="009608A5">
            <w:pPr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počítačů</w:t>
            </w:r>
          </w:p>
        </w:tc>
        <w:tc>
          <w:tcPr>
            <w:tcW w:w="3634" w:type="dxa"/>
            <w:vAlign w:val="center"/>
          </w:tcPr>
          <w:p w:rsidR="005D7D48" w:rsidRDefault="00237414" w:rsidP="00CE79E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7D48">
              <w:rPr>
                <w:sz w:val="24"/>
                <w:szCs w:val="24"/>
              </w:rPr>
              <w:t>6</w:t>
            </w:r>
          </w:p>
        </w:tc>
      </w:tr>
      <w:tr w:rsidR="005D7D48" w:rsidTr="00CE79E6">
        <w:trPr>
          <w:jc w:val="center"/>
        </w:trPr>
        <w:tc>
          <w:tcPr>
            <w:tcW w:w="5270" w:type="dxa"/>
            <w:vAlign w:val="center"/>
          </w:tcPr>
          <w:p w:rsidR="005D7D48" w:rsidRDefault="005D7D48" w:rsidP="009608A5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152236">
              <w:rPr>
                <w:sz w:val="24"/>
                <w:szCs w:val="24"/>
              </w:rPr>
              <w:t>Počet absenčních výpůjček</w:t>
            </w:r>
          </w:p>
        </w:tc>
        <w:tc>
          <w:tcPr>
            <w:tcW w:w="3634" w:type="dxa"/>
            <w:vAlign w:val="center"/>
          </w:tcPr>
          <w:p w:rsidR="005D7D48" w:rsidRDefault="00152236" w:rsidP="00CE79E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21758</w:t>
            </w:r>
          </w:p>
        </w:tc>
      </w:tr>
      <w:tr w:rsidR="005D7D48" w:rsidTr="00CE79E6">
        <w:trPr>
          <w:jc w:val="center"/>
        </w:trPr>
        <w:tc>
          <w:tcPr>
            <w:tcW w:w="5270" w:type="dxa"/>
            <w:vAlign w:val="center"/>
          </w:tcPr>
          <w:p w:rsidR="005D7D48" w:rsidRDefault="005D7D48" w:rsidP="009608A5">
            <w:pPr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svazků (knihovna)</w:t>
            </w:r>
          </w:p>
        </w:tc>
        <w:tc>
          <w:tcPr>
            <w:tcW w:w="3634" w:type="dxa"/>
            <w:vAlign w:val="center"/>
          </w:tcPr>
          <w:p w:rsidR="005D7D48" w:rsidRDefault="005D7D48" w:rsidP="00CE79E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3C1B66">
              <w:rPr>
                <w:sz w:val="24"/>
                <w:szCs w:val="24"/>
              </w:rPr>
              <w:t>814</w:t>
            </w:r>
          </w:p>
        </w:tc>
      </w:tr>
      <w:tr w:rsidR="005D7D48" w:rsidTr="00CE79E6">
        <w:trPr>
          <w:jc w:val="center"/>
        </w:trPr>
        <w:tc>
          <w:tcPr>
            <w:tcW w:w="5270" w:type="dxa"/>
            <w:vAlign w:val="center"/>
          </w:tcPr>
          <w:p w:rsidR="005D7D48" w:rsidRDefault="005D7D48" w:rsidP="009608A5">
            <w:pPr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svazků (fakulta)</w:t>
            </w:r>
          </w:p>
        </w:tc>
        <w:tc>
          <w:tcPr>
            <w:tcW w:w="3634" w:type="dxa"/>
            <w:vAlign w:val="center"/>
          </w:tcPr>
          <w:p w:rsidR="005D7D48" w:rsidRDefault="003C1B66" w:rsidP="00CE79E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45293</w:t>
            </w:r>
          </w:p>
        </w:tc>
      </w:tr>
      <w:tr w:rsidR="005D7D48" w:rsidTr="00CE79E6">
        <w:trPr>
          <w:jc w:val="center"/>
        </w:trPr>
        <w:tc>
          <w:tcPr>
            <w:tcW w:w="5270" w:type="dxa"/>
            <w:vAlign w:val="center"/>
          </w:tcPr>
          <w:p w:rsidR="005D7D48" w:rsidRPr="009B18E0" w:rsidRDefault="005D7D48" w:rsidP="009608A5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9B18E0">
              <w:rPr>
                <w:sz w:val="24"/>
                <w:szCs w:val="24"/>
              </w:rPr>
              <w:t>Počet xerokopií</w:t>
            </w:r>
            <w:r w:rsidR="00CE79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  <w:vAlign w:val="center"/>
          </w:tcPr>
          <w:p w:rsidR="005D7D48" w:rsidRDefault="005D7D48" w:rsidP="00CE79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B18E0">
              <w:rPr>
                <w:sz w:val="24"/>
                <w:szCs w:val="24"/>
              </w:rPr>
              <w:t>8</w:t>
            </w:r>
            <w:r w:rsidR="009B18E0" w:rsidRPr="009B18E0">
              <w:rPr>
                <w:sz w:val="24"/>
                <w:szCs w:val="24"/>
              </w:rPr>
              <w:t>0663</w:t>
            </w:r>
          </w:p>
        </w:tc>
      </w:tr>
      <w:tr w:rsidR="005D7D48" w:rsidTr="00CE79E6">
        <w:trPr>
          <w:jc w:val="center"/>
        </w:trPr>
        <w:tc>
          <w:tcPr>
            <w:tcW w:w="5270" w:type="dxa"/>
            <w:vAlign w:val="center"/>
          </w:tcPr>
          <w:p w:rsidR="005D7D48" w:rsidRDefault="005D7D48" w:rsidP="009608A5">
            <w:pPr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vzdělávacích akcí</w:t>
            </w:r>
          </w:p>
        </w:tc>
        <w:tc>
          <w:tcPr>
            <w:tcW w:w="3634" w:type="dxa"/>
            <w:vAlign w:val="center"/>
          </w:tcPr>
          <w:p w:rsidR="005D7D48" w:rsidRDefault="005D7D48" w:rsidP="00CE79E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5D7D48" w:rsidRDefault="005D7D48" w:rsidP="005D7D48"/>
    <w:p w:rsidR="00E6347C" w:rsidRDefault="00E6347C" w:rsidP="005D7D48"/>
    <w:p w:rsidR="00E721C2" w:rsidRDefault="00E721C2" w:rsidP="005D7D48">
      <w:pPr>
        <w:rPr>
          <w:sz w:val="24"/>
          <w:szCs w:val="24"/>
        </w:rPr>
      </w:pPr>
    </w:p>
    <w:p w:rsidR="00E721C2" w:rsidRDefault="00E721C2" w:rsidP="005D7D48">
      <w:pPr>
        <w:rPr>
          <w:sz w:val="24"/>
          <w:szCs w:val="24"/>
        </w:rPr>
      </w:pPr>
    </w:p>
    <w:p w:rsidR="00E721C2" w:rsidRPr="00E721C2" w:rsidRDefault="00E721C2" w:rsidP="005D7D48">
      <w:pPr>
        <w:rPr>
          <w:sz w:val="24"/>
          <w:szCs w:val="24"/>
        </w:rPr>
      </w:pPr>
      <w:r>
        <w:rPr>
          <w:sz w:val="24"/>
          <w:szCs w:val="24"/>
        </w:rPr>
        <w:t>Výroční zprávu vypracovala: Mgr. Marcela Všetičková, vedoucí Knihovny PřF</w:t>
      </w:r>
    </w:p>
    <w:sectPr w:rsidR="00E721C2" w:rsidRPr="00E721C2" w:rsidSect="00F41E5D"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43" w:rsidRDefault="008C6643">
      <w:r>
        <w:separator/>
      </w:r>
    </w:p>
  </w:endnote>
  <w:endnote w:type="continuationSeparator" w:id="0">
    <w:p w:rsidR="008C6643" w:rsidRDefault="008C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384712"/>
      <w:docPartObj>
        <w:docPartGallery w:val="Page Numbers (Bottom of Page)"/>
        <w:docPartUnique/>
      </w:docPartObj>
    </w:sdtPr>
    <w:sdtEndPr/>
    <w:sdtContent>
      <w:p w:rsidR="00712034" w:rsidRDefault="005D7D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B23">
          <w:rPr>
            <w:noProof/>
          </w:rPr>
          <w:t>3</w:t>
        </w:r>
        <w:r>
          <w:fldChar w:fldCharType="end"/>
        </w:r>
      </w:p>
    </w:sdtContent>
  </w:sdt>
  <w:p w:rsidR="00B96D76" w:rsidRDefault="00E67B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43" w:rsidRDefault="008C6643">
      <w:r>
        <w:separator/>
      </w:r>
    </w:p>
  </w:footnote>
  <w:footnote w:type="continuationSeparator" w:id="0">
    <w:p w:rsidR="008C6643" w:rsidRDefault="008C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100"/>
    <w:multiLevelType w:val="hybridMultilevel"/>
    <w:tmpl w:val="CFFCA802"/>
    <w:lvl w:ilvl="0" w:tplc="F9ACCC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48"/>
    <w:rsid w:val="000069EB"/>
    <w:rsid w:val="0001330C"/>
    <w:rsid w:val="000563C6"/>
    <w:rsid w:val="000B438C"/>
    <w:rsid w:val="000C33B0"/>
    <w:rsid w:val="000C612D"/>
    <w:rsid w:val="000E1361"/>
    <w:rsid w:val="001056D5"/>
    <w:rsid w:val="00152236"/>
    <w:rsid w:val="001772D7"/>
    <w:rsid w:val="001C3BD6"/>
    <w:rsid w:val="00202BC0"/>
    <w:rsid w:val="00206C0F"/>
    <w:rsid w:val="00237414"/>
    <w:rsid w:val="00237B18"/>
    <w:rsid w:val="00256464"/>
    <w:rsid w:val="002A203E"/>
    <w:rsid w:val="002F5B75"/>
    <w:rsid w:val="003033DC"/>
    <w:rsid w:val="0031258E"/>
    <w:rsid w:val="00326CF1"/>
    <w:rsid w:val="003B0EBD"/>
    <w:rsid w:val="003B18FE"/>
    <w:rsid w:val="003C1B66"/>
    <w:rsid w:val="00425AD6"/>
    <w:rsid w:val="0044406A"/>
    <w:rsid w:val="0048414F"/>
    <w:rsid w:val="004B4365"/>
    <w:rsid w:val="004F4CE8"/>
    <w:rsid w:val="005140AF"/>
    <w:rsid w:val="0057552B"/>
    <w:rsid w:val="005D7D48"/>
    <w:rsid w:val="00765EB9"/>
    <w:rsid w:val="00777F41"/>
    <w:rsid w:val="00786875"/>
    <w:rsid w:val="00853839"/>
    <w:rsid w:val="00856C51"/>
    <w:rsid w:val="00882E10"/>
    <w:rsid w:val="00884314"/>
    <w:rsid w:val="00892B51"/>
    <w:rsid w:val="0089421C"/>
    <w:rsid w:val="008C6643"/>
    <w:rsid w:val="008E6D81"/>
    <w:rsid w:val="008F72B3"/>
    <w:rsid w:val="00912CE3"/>
    <w:rsid w:val="0092499E"/>
    <w:rsid w:val="009503DA"/>
    <w:rsid w:val="009679B1"/>
    <w:rsid w:val="00973BDD"/>
    <w:rsid w:val="00973D24"/>
    <w:rsid w:val="00976BF9"/>
    <w:rsid w:val="009957C5"/>
    <w:rsid w:val="009A0422"/>
    <w:rsid w:val="009B18E0"/>
    <w:rsid w:val="009C0B27"/>
    <w:rsid w:val="009C3720"/>
    <w:rsid w:val="00A048CB"/>
    <w:rsid w:val="00A1544D"/>
    <w:rsid w:val="00A34AFF"/>
    <w:rsid w:val="00A41543"/>
    <w:rsid w:val="00A52986"/>
    <w:rsid w:val="00A53D9D"/>
    <w:rsid w:val="00A542A2"/>
    <w:rsid w:val="00A55DA8"/>
    <w:rsid w:val="00A76994"/>
    <w:rsid w:val="00A85C3D"/>
    <w:rsid w:val="00AB38BD"/>
    <w:rsid w:val="00AB780A"/>
    <w:rsid w:val="00AC0D54"/>
    <w:rsid w:val="00B00511"/>
    <w:rsid w:val="00B25321"/>
    <w:rsid w:val="00B7741C"/>
    <w:rsid w:val="00BB49A5"/>
    <w:rsid w:val="00BD0C9C"/>
    <w:rsid w:val="00BE237A"/>
    <w:rsid w:val="00C16934"/>
    <w:rsid w:val="00C44421"/>
    <w:rsid w:val="00C5260B"/>
    <w:rsid w:val="00CA7499"/>
    <w:rsid w:val="00CC26EF"/>
    <w:rsid w:val="00CE79E6"/>
    <w:rsid w:val="00D0197A"/>
    <w:rsid w:val="00D112AD"/>
    <w:rsid w:val="00D4012E"/>
    <w:rsid w:val="00D5060B"/>
    <w:rsid w:val="00D84C08"/>
    <w:rsid w:val="00DE78C2"/>
    <w:rsid w:val="00DF6DF4"/>
    <w:rsid w:val="00E23484"/>
    <w:rsid w:val="00E62A23"/>
    <w:rsid w:val="00E6347C"/>
    <w:rsid w:val="00E67B23"/>
    <w:rsid w:val="00E721C2"/>
    <w:rsid w:val="00E74957"/>
    <w:rsid w:val="00EB1CC4"/>
    <w:rsid w:val="00EE55CA"/>
    <w:rsid w:val="00F021F6"/>
    <w:rsid w:val="00F41E5D"/>
    <w:rsid w:val="00F51B40"/>
    <w:rsid w:val="00F66936"/>
    <w:rsid w:val="00F812E4"/>
    <w:rsid w:val="00F97E78"/>
    <w:rsid w:val="00FC0855"/>
    <w:rsid w:val="00FC0D1E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D48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5D7D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7D48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D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D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42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41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414F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D48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5D7D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7D48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D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D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42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41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414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seticko\Desktop\knih._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seticko\Desktop\cas._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List1!$E$7:$E$9</c:f>
              <c:strCache>
                <c:ptCount val="3"/>
                <c:pt idx="0">
                  <c:v>Grantový nákup</c:v>
                </c:pt>
                <c:pt idx="1">
                  <c:v>Nákup z prostředků kateder</c:v>
                </c:pt>
                <c:pt idx="2">
                  <c:v>Knihovna PřF </c:v>
                </c:pt>
              </c:strCache>
            </c:strRef>
          </c:cat>
          <c:val>
            <c:numRef>
              <c:f>List1!$F$7:$F$9</c:f>
              <c:numCache>
                <c:formatCode>"Kč"#,##0_);[Red]\("Kč"#,##0\)</c:formatCode>
                <c:ptCount val="3"/>
                <c:pt idx="0">
                  <c:v>1515167</c:v>
                </c:pt>
                <c:pt idx="1">
                  <c:v>119059</c:v>
                </c:pt>
                <c:pt idx="2">
                  <c:v>18712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459733158355207"/>
          <c:y val="0.32755212890055407"/>
          <c:w val="0.29873600174978127"/>
          <c:h val="0.3819327792359288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90966754155731"/>
          <c:y val="3.7037037037037035E-2"/>
          <c:w val="0.53888888888888886"/>
          <c:h val="0.89814814814814814"/>
        </c:manualLayout>
      </c:layout>
      <c:pieChart>
        <c:varyColors val="1"/>
        <c:ser>
          <c:idx val="0"/>
          <c:order val="0"/>
          <c:cat>
            <c:strRef>
              <c:f>List1!$E$9:$E$11</c:f>
              <c:strCache>
                <c:ptCount val="3"/>
                <c:pt idx="0">
                  <c:v>Grantový nákup</c:v>
                </c:pt>
                <c:pt idx="1">
                  <c:v>Nákup z prostředků kateder</c:v>
                </c:pt>
                <c:pt idx="2">
                  <c:v>Knihovna PřF - čas. Science</c:v>
                </c:pt>
              </c:strCache>
            </c:strRef>
          </c:cat>
          <c:val>
            <c:numRef>
              <c:f>List1!$F$9:$F$11</c:f>
              <c:numCache>
                <c:formatCode>"Kč"#,##0_);[Red]\("Kč"#,##0\)</c:formatCode>
                <c:ptCount val="3"/>
                <c:pt idx="0">
                  <c:v>19316</c:v>
                </c:pt>
                <c:pt idx="1">
                  <c:v>408478</c:v>
                </c:pt>
                <c:pt idx="2">
                  <c:v>171593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515288713910763"/>
          <c:y val="0.33681138815981337"/>
          <c:w val="0.26818044619422571"/>
          <c:h val="0.3541550014581510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C738-8F11-468B-AFF4-336C1529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6</Pages>
  <Words>1100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Marcela Všetičková</dc:creator>
  <cp:lastModifiedBy>Mgr. Marcela Všetičková</cp:lastModifiedBy>
  <cp:revision>77</cp:revision>
  <cp:lastPrinted>2016-01-22T09:31:00Z</cp:lastPrinted>
  <dcterms:created xsi:type="dcterms:W3CDTF">2016-01-05T17:01:00Z</dcterms:created>
  <dcterms:modified xsi:type="dcterms:W3CDTF">2016-01-29T11:00:00Z</dcterms:modified>
</cp:coreProperties>
</file>